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EDF7" w14:textId="3E4981F3" w:rsidR="00F8141F" w:rsidRDefault="00F8141F" w:rsidP="00F8141F">
      <w:pPr>
        <w:spacing w:before="100" w:beforeAutospacing="1" w:after="100" w:afterAutospacing="1"/>
        <w:jc w:val="center"/>
        <w:rPr>
          <w:rFonts w:ascii="BookAntiqua" w:eastAsia="Times New Roman" w:hAnsi="BookAntiqua" w:cs="Times New Roman"/>
          <w:color w:val="4270C1"/>
          <w:kern w:val="0"/>
          <w:sz w:val="48"/>
          <w:szCs w:val="48"/>
          <w14:ligatures w14:val="none"/>
        </w:rPr>
      </w:pPr>
      <w:r w:rsidRPr="00A50352">
        <w:rPr>
          <w:rFonts w:ascii="BookAntiqua" w:eastAsia="Times New Roman" w:hAnsi="BookAntiqua" w:cs="Times New Roman"/>
          <w:color w:val="4270C1"/>
          <w:kern w:val="0"/>
          <w:sz w:val="48"/>
          <w:szCs w:val="48"/>
          <w14:ligatures w14:val="none"/>
        </w:rPr>
        <w:t>Student Teaching in the GDR</w:t>
      </w:r>
    </w:p>
    <w:p w14:paraId="7331ED12" w14:textId="77777777" w:rsidR="00A50352" w:rsidRPr="00A50352" w:rsidRDefault="00A50352" w:rsidP="00F8141F">
      <w:pPr>
        <w:spacing w:before="100" w:beforeAutospacing="1" w:after="100" w:afterAutospacing="1"/>
        <w:jc w:val="center"/>
        <w:rPr>
          <w:rFonts w:ascii="Times New Roman" w:eastAsia="Times New Roman" w:hAnsi="Times New Roman" w:cs="Times New Roman"/>
          <w:kern w:val="0"/>
          <w:sz w:val="48"/>
          <w:szCs w:val="48"/>
          <w14:ligatures w14:val="none"/>
        </w:rPr>
      </w:pPr>
    </w:p>
    <w:p w14:paraId="0D5CDC95" w14:textId="40A2F5B7" w:rsidR="00A50352" w:rsidRPr="00A50352" w:rsidRDefault="00A50352" w:rsidP="00F8141F">
      <w:pPr>
        <w:spacing w:before="100" w:beforeAutospacing="1" w:after="100" w:afterAutospacing="1"/>
        <w:rPr>
          <w:rFonts w:ascii="BookAntiqua" w:eastAsia="Times New Roman" w:hAnsi="BookAntiqua" w:cs="Times New Roman"/>
          <w:kern w:val="0"/>
          <w:sz w:val="40"/>
          <w:szCs w:val="40"/>
          <w:u w:val="single"/>
          <w14:ligatures w14:val="none"/>
        </w:rPr>
      </w:pPr>
      <w:r w:rsidRPr="00A50352">
        <w:rPr>
          <w:rFonts w:ascii="BookAntiqua" w:eastAsia="Times New Roman" w:hAnsi="BookAntiqua" w:cs="Times New Roman"/>
          <w:kern w:val="0"/>
          <w:sz w:val="40"/>
          <w:szCs w:val="40"/>
          <w:u w:val="single"/>
          <w14:ligatures w14:val="none"/>
        </w:rPr>
        <w:t>POLICY</w:t>
      </w:r>
    </w:p>
    <w:p w14:paraId="7A5E5868" w14:textId="77777777" w:rsidR="00A50352" w:rsidRPr="00A50352" w:rsidRDefault="00A50352" w:rsidP="00A50352">
      <w:pPr>
        <w:pStyle w:val="NormalWeb"/>
        <w:rPr>
          <w:rFonts w:ascii="Book Antiqua" w:hAnsi="Book Antiqua"/>
        </w:rPr>
      </w:pPr>
      <w:r w:rsidRPr="00A50352">
        <w:rPr>
          <w:rFonts w:ascii="Book Antiqua" w:hAnsi="Book Antiqua"/>
        </w:rPr>
        <w:t xml:space="preserve">Teaching and research service as part of a PhD student’s program in the Graduate Department of Religion are characterized by four basic considerations: </w:t>
      </w:r>
    </w:p>
    <w:p w14:paraId="10728CDD" w14:textId="77777777" w:rsidR="00A50352" w:rsidRPr="00A50352" w:rsidRDefault="00A50352" w:rsidP="00A50352">
      <w:pPr>
        <w:pStyle w:val="NormalWeb"/>
        <w:rPr>
          <w:rFonts w:ascii="Book Antiqua" w:hAnsi="Book Antiqua"/>
        </w:rPr>
      </w:pPr>
      <w:r w:rsidRPr="00A50352">
        <w:rPr>
          <w:rFonts w:ascii="Book Antiqua" w:hAnsi="Book Antiqua"/>
          <w:b/>
          <w:bCs/>
        </w:rPr>
        <w:t>First</w:t>
      </w:r>
      <w:r w:rsidRPr="00A50352">
        <w:rPr>
          <w:rFonts w:ascii="Book Antiqua" w:hAnsi="Book Antiqua"/>
        </w:rPr>
        <w:t xml:space="preserve">, Research Assistant (RA) and Teaching Assistant and Associate (TA) assignments are intrinsic to graduate training. Apprenticing in scholarship and teaching aims to prepare PhD graduates for positions in and beyond the academy. The service that is expected of graduate students is designed to teach skills that will help graduates acquire employment beyond Vanderbilt. We hope you will think of every assignment given as a part of a portfolio of classes one can teach and research activities one can use. As the Graduate School's official letter of admission states: "Teaching experience is an important part of your intellectual development and professional preparation. Accordingly, your department has designed a teaching program that is tailored to your graduate experience and will communicate this to you. Collectively, </w:t>
      </w:r>
      <w:proofErr w:type="gramStart"/>
      <w:r w:rsidRPr="00A50352">
        <w:rPr>
          <w:rFonts w:ascii="Book Antiqua" w:hAnsi="Book Antiqua"/>
        </w:rPr>
        <w:t>your</w:t>
      </w:r>
      <w:proofErr w:type="gramEnd"/>
      <w:r w:rsidRPr="00A50352">
        <w:rPr>
          <w:rFonts w:ascii="Book Antiqua" w:hAnsi="Book Antiqua"/>
        </w:rPr>
        <w:t xml:space="preserve"> teaching and research experiences form the basis of your Graduate Fellowship award.” </w:t>
      </w:r>
    </w:p>
    <w:p w14:paraId="1592B029" w14:textId="77777777" w:rsidR="00A50352" w:rsidRPr="00A50352" w:rsidRDefault="00A50352" w:rsidP="00A50352">
      <w:pPr>
        <w:pStyle w:val="NormalWeb"/>
        <w:rPr>
          <w:rFonts w:ascii="Book Antiqua" w:hAnsi="Book Antiqua"/>
        </w:rPr>
      </w:pPr>
      <w:r w:rsidRPr="00A50352">
        <w:rPr>
          <w:rFonts w:ascii="Book Antiqua" w:hAnsi="Book Antiqua"/>
          <w:b/>
          <w:bCs/>
        </w:rPr>
        <w:t>Second</w:t>
      </w:r>
      <w:r w:rsidRPr="00A50352">
        <w:rPr>
          <w:rFonts w:ascii="Book Antiqua" w:hAnsi="Book Antiqua"/>
        </w:rPr>
        <w:t xml:space="preserve">, there is no set number of TA/RA assignments that students must complete. As is the case with other departments in the Graduate School, students are expected to be available to serve the department in some capacity while receiving a stipend. </w:t>
      </w:r>
    </w:p>
    <w:p w14:paraId="377CDF60" w14:textId="77777777" w:rsidR="00A50352" w:rsidRPr="00A50352" w:rsidRDefault="00A50352" w:rsidP="00A50352">
      <w:pPr>
        <w:pStyle w:val="NormalWeb"/>
        <w:rPr>
          <w:rFonts w:ascii="Book Antiqua" w:hAnsi="Book Antiqua"/>
        </w:rPr>
      </w:pPr>
      <w:r w:rsidRPr="00A50352">
        <w:rPr>
          <w:rFonts w:ascii="Book Antiqua" w:hAnsi="Book Antiqua"/>
          <w:b/>
          <w:bCs/>
        </w:rPr>
        <w:t>Third</w:t>
      </w:r>
      <w:r w:rsidRPr="00A50352">
        <w:rPr>
          <w:rFonts w:ascii="Book Antiqua" w:hAnsi="Book Antiqua"/>
        </w:rPr>
        <w:t xml:space="preserve">, the stipend includes payment for TA/RA service. The GDR does not pay students extra for these assignments. This is consistent with the general policies of other departments in the Graduate School. Exceptions are made when the department asks students to take on more than one discussion session in a class or an additional assignment upon the mutual agreement of the student and the department. </w:t>
      </w:r>
    </w:p>
    <w:p w14:paraId="4C922E7B" w14:textId="77777777" w:rsidR="00A50352" w:rsidRDefault="00A50352" w:rsidP="00A50352">
      <w:pPr>
        <w:pStyle w:val="NormalWeb"/>
        <w:rPr>
          <w:rFonts w:ascii="Book Antiqua" w:hAnsi="Book Antiqua"/>
        </w:rPr>
      </w:pPr>
      <w:r w:rsidRPr="00A50352">
        <w:rPr>
          <w:rFonts w:ascii="Book Antiqua" w:hAnsi="Book Antiqua"/>
          <w:b/>
          <w:bCs/>
        </w:rPr>
        <w:t>Fourth</w:t>
      </w:r>
      <w:r w:rsidRPr="00A50352">
        <w:rPr>
          <w:rFonts w:ascii="Book Antiqua" w:hAnsi="Book Antiqua"/>
        </w:rPr>
        <w:t xml:space="preserve">, the GDR office </w:t>
      </w:r>
      <w:proofErr w:type="gramStart"/>
      <w:r w:rsidRPr="00A50352">
        <w:rPr>
          <w:rFonts w:ascii="Book Antiqua" w:hAnsi="Book Antiqua"/>
        </w:rPr>
        <w:t>sets</w:t>
      </w:r>
      <w:proofErr w:type="gramEnd"/>
      <w:r w:rsidRPr="00A50352">
        <w:rPr>
          <w:rFonts w:ascii="Book Antiqua" w:hAnsi="Book Antiqua"/>
        </w:rPr>
        <w:t xml:space="preserve"> and final approves all TA and RA assignments. If someone from another department requests that GDR students take assignments in their classes, the GDR office must be informed. This is to assure that students receive proper credit for their service. You should see the familiar application (with a link to a Redcap form), allowing students to apply for TA and RA positions. We will then seek input from faculty members before making assignments. Some adjustments through the year due to enrollment changes and other developments are to be expected, but we should be able to make most of the assignments in the summer. </w:t>
      </w:r>
    </w:p>
    <w:p w14:paraId="359077CB" w14:textId="77777777" w:rsidR="00A50352" w:rsidRDefault="00A50352" w:rsidP="00A50352">
      <w:pPr>
        <w:pStyle w:val="NormalWeb"/>
        <w:rPr>
          <w:rFonts w:ascii="Book Antiqua" w:hAnsi="Book Antiqua"/>
          <w:sz w:val="40"/>
          <w:szCs w:val="40"/>
        </w:rPr>
      </w:pPr>
    </w:p>
    <w:p w14:paraId="3E182B92" w14:textId="10F5AE43" w:rsidR="00A50352" w:rsidRDefault="00A50352" w:rsidP="00A50352">
      <w:pPr>
        <w:pStyle w:val="NormalWeb"/>
        <w:rPr>
          <w:rFonts w:ascii="Book Antiqua" w:hAnsi="Book Antiqua"/>
          <w:sz w:val="40"/>
          <w:szCs w:val="40"/>
          <w:u w:val="single"/>
        </w:rPr>
      </w:pPr>
      <w:r w:rsidRPr="00A50352">
        <w:rPr>
          <w:rFonts w:ascii="Book Antiqua" w:hAnsi="Book Antiqua"/>
          <w:sz w:val="40"/>
          <w:szCs w:val="40"/>
          <w:u w:val="single"/>
        </w:rPr>
        <w:lastRenderedPageBreak/>
        <w:t>PROC</w:t>
      </w:r>
      <w:r>
        <w:rPr>
          <w:rFonts w:ascii="Book Antiqua" w:hAnsi="Book Antiqua"/>
          <w:sz w:val="40"/>
          <w:szCs w:val="40"/>
          <w:u w:val="single"/>
        </w:rPr>
        <w:t>ESS</w:t>
      </w:r>
    </w:p>
    <w:p w14:paraId="53CFF525" w14:textId="0EDFE31B" w:rsidR="00F8141F" w:rsidRPr="00A50352" w:rsidRDefault="00F8141F" w:rsidP="00A50352">
      <w:pPr>
        <w:pStyle w:val="NormalWeb"/>
        <w:rPr>
          <w:rFonts w:ascii="Book Antiqua" w:hAnsi="Book Antiqua"/>
          <w:sz w:val="40"/>
          <w:szCs w:val="40"/>
          <w:u w:val="single"/>
        </w:rPr>
      </w:pPr>
      <w:r w:rsidRPr="00F8141F">
        <w:rPr>
          <w:rFonts w:ascii="BookAntiqua" w:hAnsi="BookAntiqua"/>
        </w:rPr>
        <w:t xml:space="preserve">The Graduate Department of Religion offers robust pedagogical training in a four-stage process, which takes advantage of both departmental and university resources. </w:t>
      </w:r>
    </w:p>
    <w:p w14:paraId="6BFC732A" w14:textId="492241FB" w:rsidR="00F8141F" w:rsidRPr="00F8141F" w:rsidRDefault="00F8141F" w:rsidP="00F8141F">
      <w:pPr>
        <w:spacing w:before="100" w:beforeAutospacing="1" w:after="100" w:afterAutospacing="1"/>
        <w:rPr>
          <w:rFonts w:ascii="Times New Roman" w:eastAsia="Times New Roman" w:hAnsi="Times New Roman" w:cs="Times New Roman"/>
          <w:kern w:val="0"/>
          <w14:ligatures w14:val="none"/>
        </w:rPr>
      </w:pPr>
      <w:r w:rsidRPr="00F8141F">
        <w:rPr>
          <w:rFonts w:ascii="BookAntiqua" w:eastAsia="Times New Roman" w:hAnsi="BookAntiqua" w:cs="Times New Roman"/>
          <w:b/>
          <w:bCs/>
          <w:color w:val="4270C1"/>
          <w:kern w:val="0"/>
          <w14:ligatures w14:val="none"/>
        </w:rPr>
        <w:t>Stage 1: REL 8004. Practicum in the Teaching of Religion</w:t>
      </w:r>
      <w:r w:rsidR="0087640E">
        <w:rPr>
          <w:rFonts w:ascii="BookAntiqua" w:eastAsia="Times New Roman" w:hAnsi="BookAntiqua" w:cs="Times New Roman"/>
          <w:b/>
          <w:bCs/>
          <w:color w:val="4270C1"/>
          <w:kern w:val="0"/>
          <w14:ligatures w14:val="none"/>
        </w:rPr>
        <w:t xml:space="preserve"> I</w:t>
      </w:r>
      <w:r w:rsidRPr="00F8141F">
        <w:rPr>
          <w:rFonts w:ascii="BookAntiqua" w:eastAsia="Times New Roman" w:hAnsi="BookAntiqua" w:cs="Times New Roman"/>
          <w:b/>
          <w:bCs/>
          <w:color w:val="4270C1"/>
          <w:kern w:val="0"/>
          <w14:ligatures w14:val="none"/>
        </w:rPr>
        <w:t xml:space="preserve"> </w:t>
      </w:r>
    </w:p>
    <w:p w14:paraId="0CD06D34" w14:textId="0FF55254" w:rsidR="0025714E" w:rsidRPr="0025714E" w:rsidRDefault="00F8141F" w:rsidP="0025714E">
      <w:pPr>
        <w:numPr>
          <w:ilvl w:val="0"/>
          <w:numId w:val="1"/>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A two-semester (no credit) course for first year students in the GDR (MA and PhD). (</w:t>
      </w:r>
      <w:r w:rsidRPr="00F8141F">
        <w:rPr>
          <w:rFonts w:ascii="BookAntiqua" w:eastAsia="Times New Roman" w:hAnsi="BookAntiqua" w:cs="Times New Roman"/>
          <w:i/>
          <w:iCs/>
          <w:kern w:val="0"/>
          <w14:ligatures w14:val="none"/>
        </w:rPr>
        <w:t>Students will not be assigned as teaching assistants until their second year</w:t>
      </w:r>
      <w:r w:rsidRPr="00F8141F">
        <w:rPr>
          <w:rFonts w:ascii="BookAntiqua" w:eastAsia="Times New Roman" w:hAnsi="BookAntiqua" w:cs="Times New Roman"/>
          <w:kern w:val="0"/>
          <w14:ligatures w14:val="none"/>
        </w:rPr>
        <w:t xml:space="preserve">.) </w:t>
      </w:r>
    </w:p>
    <w:p w14:paraId="01E8BF2A" w14:textId="77777777" w:rsidR="0087640E" w:rsidRDefault="00F8141F" w:rsidP="0087640E">
      <w:pPr>
        <w:numPr>
          <w:ilvl w:val="0"/>
          <w:numId w:val="1"/>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b/>
          <w:bCs/>
          <w:color w:val="4270C1"/>
          <w:kern w:val="0"/>
          <w14:ligatures w14:val="none"/>
        </w:rPr>
        <w:t xml:space="preserve">In the Fall, </w:t>
      </w:r>
      <w:r w:rsidRPr="00F8141F">
        <w:rPr>
          <w:rFonts w:ascii="BookAntiqua" w:eastAsia="Times New Roman" w:hAnsi="BookAntiqua" w:cs="Times New Roman"/>
          <w:kern w:val="0"/>
          <w14:ligatures w14:val="none"/>
        </w:rPr>
        <w:t>the course meets bi-weekly for 50 minutes</w:t>
      </w:r>
      <w:r w:rsidR="0025714E">
        <w:rPr>
          <w:rFonts w:ascii="BookAntiqua" w:eastAsia="Times New Roman" w:hAnsi="BookAntiqua" w:cs="Times New Roman"/>
          <w:kern w:val="0"/>
          <w14:ligatures w14:val="none"/>
        </w:rPr>
        <w:t>.</w:t>
      </w:r>
    </w:p>
    <w:p w14:paraId="62E1FE84" w14:textId="4B046021" w:rsidR="0025714E" w:rsidRPr="0087640E" w:rsidRDefault="00F8141F" w:rsidP="0087640E">
      <w:pPr>
        <w:pStyle w:val="ListParagraph"/>
        <w:numPr>
          <w:ilvl w:val="0"/>
          <w:numId w:val="6"/>
        </w:numPr>
        <w:spacing w:before="100" w:beforeAutospacing="1" w:after="100" w:afterAutospacing="1"/>
        <w:rPr>
          <w:rFonts w:ascii="SymbolMT" w:eastAsia="Times New Roman" w:hAnsi="SymbolMT" w:cs="Times New Roman"/>
          <w:kern w:val="0"/>
          <w14:ligatures w14:val="none"/>
        </w:rPr>
      </w:pPr>
      <w:r w:rsidRPr="0087640E">
        <w:rPr>
          <w:rFonts w:ascii="BookAntiqua" w:eastAsia="Times New Roman" w:hAnsi="BookAntiqua" w:cs="Times New Roman"/>
          <w:kern w:val="0"/>
          <w14:ligatures w14:val="none"/>
        </w:rPr>
        <w:t>Led by a GDR faculty member and includes various faculty members</w:t>
      </w:r>
      <w:r w:rsidR="0025714E" w:rsidRPr="0087640E">
        <w:rPr>
          <w:rFonts w:ascii="BookAntiqua" w:eastAsia="Times New Roman" w:hAnsi="BookAntiqua" w:cs="Times New Roman"/>
          <w:kern w:val="0"/>
          <w14:ligatures w14:val="none"/>
        </w:rPr>
        <w:t xml:space="preserve"> </w:t>
      </w:r>
      <w:r w:rsidRPr="0087640E">
        <w:rPr>
          <w:rFonts w:ascii="BookAntiqua" w:eastAsia="Times New Roman" w:hAnsi="BookAntiqua" w:cs="Times New Roman"/>
          <w:kern w:val="0"/>
          <w14:ligatures w14:val="none"/>
        </w:rPr>
        <w:t xml:space="preserve">presenting on selected topics, as scheduled in the syllabus. </w:t>
      </w:r>
    </w:p>
    <w:p w14:paraId="4EE8ED84" w14:textId="77777777" w:rsidR="0025714E" w:rsidRPr="0087640E" w:rsidRDefault="00F8141F" w:rsidP="0087640E">
      <w:pPr>
        <w:pStyle w:val="ListParagraph"/>
        <w:numPr>
          <w:ilvl w:val="0"/>
          <w:numId w:val="6"/>
        </w:numPr>
        <w:spacing w:before="100" w:beforeAutospacing="1" w:after="100" w:afterAutospacing="1"/>
        <w:rPr>
          <w:rFonts w:ascii="SymbolMT" w:eastAsia="Times New Roman" w:hAnsi="SymbolMT" w:cs="Times New Roman"/>
          <w:kern w:val="0"/>
          <w14:ligatures w14:val="none"/>
        </w:rPr>
      </w:pPr>
      <w:r w:rsidRPr="0087640E">
        <w:rPr>
          <w:rFonts w:ascii="BookAntiqua" w:eastAsia="Times New Roman" w:hAnsi="BookAntiqua" w:cs="Times New Roman"/>
          <w:b/>
          <w:bCs/>
          <w:kern w:val="0"/>
          <w14:ligatures w14:val="none"/>
        </w:rPr>
        <w:t>Focus</w:t>
      </w:r>
      <w:r w:rsidRPr="0087640E">
        <w:rPr>
          <w:rFonts w:ascii="BookAntiqua" w:eastAsia="Times New Roman" w:hAnsi="BookAntiqua" w:cs="Times New Roman"/>
          <w:kern w:val="0"/>
          <w14:ligatures w14:val="none"/>
        </w:rPr>
        <w:t xml:space="preserve">: </w:t>
      </w:r>
    </w:p>
    <w:p w14:paraId="54284EBA" w14:textId="078686AA" w:rsidR="00F8141F" w:rsidRPr="00F8141F" w:rsidRDefault="00F8141F" w:rsidP="0025714E">
      <w:pPr>
        <w:numPr>
          <w:ilvl w:val="2"/>
          <w:numId w:val="1"/>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Training in the basics of teaching in a university setting (with resources from the Center for Teaching). Topics include: </w:t>
      </w:r>
    </w:p>
    <w:p w14:paraId="296119FA" w14:textId="77777777" w:rsidR="00F8141F" w:rsidRPr="00F8141F" w:rsidRDefault="00F8141F" w:rsidP="009D21AE">
      <w:pPr>
        <w:numPr>
          <w:ilvl w:val="3"/>
          <w:numId w:val="1"/>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syllabus preparation and course design </w:t>
      </w:r>
    </w:p>
    <w:p w14:paraId="0D2E4E96" w14:textId="77777777" w:rsidR="00F8141F" w:rsidRPr="00F8141F" w:rsidRDefault="00F8141F" w:rsidP="009D21AE">
      <w:pPr>
        <w:numPr>
          <w:ilvl w:val="3"/>
          <w:numId w:val="1"/>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inclusivity in the classroom </w:t>
      </w:r>
    </w:p>
    <w:p w14:paraId="44897DE6" w14:textId="77777777" w:rsidR="00F8141F" w:rsidRPr="00F8141F" w:rsidRDefault="00F8141F" w:rsidP="009D21AE">
      <w:pPr>
        <w:numPr>
          <w:ilvl w:val="3"/>
          <w:numId w:val="1"/>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grading </w:t>
      </w:r>
    </w:p>
    <w:p w14:paraId="69AFBD3D" w14:textId="77777777" w:rsidR="00F8141F" w:rsidRPr="00F8141F" w:rsidRDefault="00F8141F" w:rsidP="009D21AE">
      <w:pPr>
        <w:numPr>
          <w:ilvl w:val="3"/>
          <w:numId w:val="1"/>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lecturing </w:t>
      </w:r>
    </w:p>
    <w:p w14:paraId="15FBC174" w14:textId="77777777" w:rsidR="00F8141F" w:rsidRPr="00F8141F" w:rsidRDefault="00F8141F" w:rsidP="009D21AE">
      <w:pPr>
        <w:numPr>
          <w:ilvl w:val="3"/>
          <w:numId w:val="1"/>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discussion leadership </w:t>
      </w:r>
    </w:p>
    <w:p w14:paraId="76392F04" w14:textId="77777777" w:rsidR="00F8141F" w:rsidRPr="00F8141F" w:rsidRDefault="00F8141F" w:rsidP="009D21AE">
      <w:pPr>
        <w:numPr>
          <w:ilvl w:val="3"/>
          <w:numId w:val="1"/>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technologies in teaching </w:t>
      </w:r>
    </w:p>
    <w:p w14:paraId="0ACDAF48" w14:textId="77777777" w:rsidR="00F8141F" w:rsidRPr="00F8141F" w:rsidRDefault="00F8141F" w:rsidP="009D21AE">
      <w:pPr>
        <w:numPr>
          <w:ilvl w:val="3"/>
          <w:numId w:val="1"/>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teaching documentation (teaching statements, etc.) </w:t>
      </w:r>
    </w:p>
    <w:p w14:paraId="0FCA1654" w14:textId="77777777" w:rsidR="00F8141F" w:rsidRPr="00F8141F" w:rsidRDefault="00F8141F" w:rsidP="009D21AE">
      <w:pPr>
        <w:numPr>
          <w:ilvl w:val="3"/>
          <w:numId w:val="1"/>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grant design and writing </w:t>
      </w:r>
    </w:p>
    <w:p w14:paraId="6110495C" w14:textId="77777777" w:rsidR="0025714E" w:rsidRPr="0025714E" w:rsidRDefault="00F8141F" w:rsidP="00F8141F">
      <w:pPr>
        <w:pStyle w:val="ListParagraph"/>
        <w:numPr>
          <w:ilvl w:val="0"/>
          <w:numId w:val="4"/>
        </w:numPr>
        <w:spacing w:before="100" w:beforeAutospacing="1" w:after="100" w:afterAutospacing="1"/>
        <w:rPr>
          <w:rFonts w:ascii="SymbolMT" w:eastAsia="Times New Roman" w:hAnsi="SymbolMT" w:cs="Times New Roman"/>
          <w:kern w:val="0"/>
          <w14:ligatures w14:val="none"/>
        </w:rPr>
      </w:pPr>
      <w:r w:rsidRPr="0025714E">
        <w:rPr>
          <w:rFonts w:ascii="BookAntiqua" w:eastAsia="Times New Roman" w:hAnsi="BookAntiqua" w:cs="Times New Roman"/>
          <w:kern w:val="0"/>
          <w14:ligatures w14:val="none"/>
        </w:rPr>
        <w:t xml:space="preserve">Discussion of mentoring in the GDR, using the </w:t>
      </w:r>
      <w:r w:rsidRPr="0025714E">
        <w:rPr>
          <w:rFonts w:ascii="BookAntiqua" w:eastAsia="Times New Roman" w:hAnsi="BookAntiqua" w:cs="Times New Roman"/>
          <w:color w:val="0560BF"/>
          <w:kern w:val="0"/>
          <w14:ligatures w14:val="none"/>
        </w:rPr>
        <w:t xml:space="preserve">GDR mentoring policy </w:t>
      </w:r>
      <w:r w:rsidRPr="0025714E">
        <w:rPr>
          <w:rFonts w:ascii="BookAntiqua" w:eastAsia="Times New Roman" w:hAnsi="BookAntiqua" w:cs="Times New Roman"/>
          <w:kern w:val="0"/>
          <w14:ligatures w14:val="none"/>
        </w:rPr>
        <w:t xml:space="preserve">as a guide. </w:t>
      </w:r>
    </w:p>
    <w:p w14:paraId="1EE01342" w14:textId="77777777" w:rsidR="0025714E" w:rsidRPr="0025714E" w:rsidRDefault="0025714E" w:rsidP="0025714E">
      <w:pPr>
        <w:pStyle w:val="ListParagraph"/>
        <w:spacing w:before="100" w:beforeAutospacing="1" w:after="100" w:afterAutospacing="1"/>
        <w:rPr>
          <w:rFonts w:ascii="SymbolMT" w:eastAsia="Times New Roman" w:hAnsi="SymbolMT" w:cs="Times New Roman"/>
          <w:kern w:val="0"/>
          <w14:ligatures w14:val="none"/>
        </w:rPr>
      </w:pPr>
    </w:p>
    <w:p w14:paraId="3557DBAD" w14:textId="77777777" w:rsidR="0087640E" w:rsidRPr="0087640E" w:rsidRDefault="00F8141F" w:rsidP="0087640E">
      <w:pPr>
        <w:pStyle w:val="ListParagraph"/>
        <w:numPr>
          <w:ilvl w:val="0"/>
          <w:numId w:val="4"/>
        </w:numPr>
        <w:spacing w:before="100" w:beforeAutospacing="1" w:after="100" w:afterAutospacing="1"/>
        <w:rPr>
          <w:rFonts w:ascii="SymbolMT" w:eastAsia="Times New Roman" w:hAnsi="SymbolMT" w:cs="Times New Roman"/>
          <w:kern w:val="0"/>
          <w14:ligatures w14:val="none"/>
        </w:rPr>
      </w:pPr>
      <w:r w:rsidRPr="0025714E">
        <w:rPr>
          <w:rFonts w:ascii="BookAntiqua" w:eastAsia="Times New Roman" w:hAnsi="BookAntiqua" w:cs="Times New Roman"/>
          <w:kern w:val="0"/>
          <w14:ligatures w14:val="none"/>
        </w:rPr>
        <w:t xml:space="preserve">Plan a strategy for professional development training catered to each student’s needs and expectations. This plan includes specific Center for Teaching certificates that the student is expected to complete, and other training offered in the CFT. There will be a road map and plan for each student moving forward in professional development, </w:t>
      </w:r>
      <w:r w:rsidRPr="0025714E">
        <w:rPr>
          <w:rFonts w:ascii="BookAntiqua" w:eastAsia="Times New Roman" w:hAnsi="BookAntiqua" w:cs="Times New Roman"/>
          <w:b/>
          <w:bCs/>
          <w:kern w:val="0"/>
          <w14:ligatures w14:val="none"/>
        </w:rPr>
        <w:t>recorded on the Professional Development Planning Form (below)</w:t>
      </w:r>
      <w:r w:rsidRPr="0025714E">
        <w:rPr>
          <w:rFonts w:ascii="BookAntiqua" w:eastAsia="Times New Roman" w:hAnsi="BookAntiqua" w:cs="Times New Roman"/>
          <w:kern w:val="0"/>
          <w14:ligatures w14:val="none"/>
        </w:rPr>
        <w:t xml:space="preserve">. This will be on file in the GDR office and should be reviewed by the advisor each semester. Updates are part of the annual GDR report on each student. </w:t>
      </w:r>
    </w:p>
    <w:p w14:paraId="06933DB7" w14:textId="77777777" w:rsidR="0087640E" w:rsidRPr="0087640E" w:rsidRDefault="0087640E" w:rsidP="0087640E">
      <w:pPr>
        <w:pStyle w:val="ListParagraph"/>
        <w:rPr>
          <w:rFonts w:ascii="BookAntiqua" w:eastAsia="Times New Roman" w:hAnsi="BookAntiqua" w:cs="Times New Roman"/>
          <w:kern w:val="0"/>
          <w14:ligatures w14:val="none"/>
        </w:rPr>
      </w:pPr>
    </w:p>
    <w:p w14:paraId="7F944AAF" w14:textId="1CF21C6A" w:rsidR="00A50352" w:rsidRPr="00A50352" w:rsidRDefault="00F8141F" w:rsidP="00A50352">
      <w:pPr>
        <w:pStyle w:val="ListParagraph"/>
        <w:numPr>
          <w:ilvl w:val="0"/>
          <w:numId w:val="12"/>
        </w:numPr>
        <w:rPr>
          <w:rFonts w:ascii="Book Antiqua" w:hAnsi="Book Antiqua"/>
        </w:rPr>
      </w:pPr>
      <w:r w:rsidRPr="00A50352">
        <w:rPr>
          <w:rFonts w:ascii="BookAntiqua" w:eastAsia="Times New Roman" w:hAnsi="BookAntiqua" w:cs="Times New Roman"/>
          <w:kern w:val="0"/>
          <w14:ligatures w14:val="none"/>
        </w:rPr>
        <w:t>Forms:</w:t>
      </w:r>
      <w:r w:rsidRPr="00A50352">
        <w:rPr>
          <w:rFonts w:ascii="BookAntiqua" w:eastAsia="Times New Roman" w:hAnsi="BookAntiqua" w:cs="Times New Roman"/>
          <w:kern w:val="0"/>
          <w14:ligatures w14:val="none"/>
        </w:rPr>
        <w:br/>
      </w:r>
      <w:r w:rsidRPr="00A50352">
        <w:rPr>
          <w:rFonts w:ascii="Wingdings" w:eastAsia="Times New Roman" w:hAnsi="Wingdings" w:cs="Times New Roman"/>
          <w:kern w:val="0"/>
          <w14:ligatures w14:val="none"/>
        </w:rPr>
        <w:t xml:space="preserve">§ </w:t>
      </w:r>
      <w:hyperlink r:id="rId5" w:history="1">
        <w:r w:rsidR="00A50352" w:rsidRPr="00A50352">
          <w:rPr>
            <w:rStyle w:val="Hyperlink"/>
            <w:rFonts w:ascii="Book Antiqua" w:hAnsi="Book Antiqua"/>
          </w:rPr>
          <w:t>Professional Development Planning Form</w:t>
        </w:r>
      </w:hyperlink>
      <w:r w:rsidRPr="00A50352">
        <w:rPr>
          <w:rFonts w:ascii="BookAntiqua" w:eastAsia="Times New Roman" w:hAnsi="BookAntiqua" w:cs="Times New Roman"/>
          <w:kern w:val="0"/>
          <w14:ligatures w14:val="none"/>
        </w:rPr>
        <w:t xml:space="preserve">– Completed by student and advisor, in consultation with Instructor of 8004. </w:t>
      </w:r>
    </w:p>
    <w:p w14:paraId="128BA2E0" w14:textId="77777777" w:rsidR="00A50352" w:rsidRPr="00A50352" w:rsidRDefault="00A50352" w:rsidP="00A50352">
      <w:pPr>
        <w:pStyle w:val="ListParagraph"/>
        <w:spacing w:before="100" w:beforeAutospacing="1" w:after="100" w:afterAutospacing="1"/>
        <w:ind w:left="1080"/>
        <w:rPr>
          <w:rFonts w:ascii="SymbolMT" w:eastAsia="Times New Roman" w:hAnsi="SymbolMT" w:cs="Times New Roman"/>
          <w:kern w:val="0"/>
          <w14:ligatures w14:val="none"/>
        </w:rPr>
      </w:pPr>
    </w:p>
    <w:p w14:paraId="2A6553CE" w14:textId="7FF2F8EC" w:rsidR="00F8141F" w:rsidRPr="00A50352" w:rsidRDefault="00F8141F" w:rsidP="00A50352">
      <w:pPr>
        <w:pStyle w:val="ListParagraph"/>
        <w:numPr>
          <w:ilvl w:val="0"/>
          <w:numId w:val="11"/>
        </w:numPr>
        <w:spacing w:before="100" w:beforeAutospacing="1" w:after="100" w:afterAutospacing="1"/>
        <w:rPr>
          <w:rFonts w:ascii="SymbolMT" w:eastAsia="Times New Roman" w:hAnsi="SymbolMT" w:cs="Times New Roman"/>
          <w:kern w:val="0"/>
          <w14:ligatures w14:val="none"/>
        </w:rPr>
      </w:pPr>
      <w:r w:rsidRPr="00A50352">
        <w:rPr>
          <w:rFonts w:ascii="BookAntiqua" w:eastAsia="Times New Roman" w:hAnsi="BookAntiqua" w:cs="Times New Roman"/>
          <w:b/>
          <w:bCs/>
          <w:color w:val="4270C1"/>
          <w:kern w:val="0"/>
          <w14:ligatures w14:val="none"/>
        </w:rPr>
        <w:t>In the Sprin</w:t>
      </w:r>
      <w:r w:rsidR="0087640E" w:rsidRPr="00A50352">
        <w:rPr>
          <w:rFonts w:ascii="BookAntiqua" w:eastAsia="Times New Roman" w:hAnsi="BookAntiqua" w:cs="Times New Roman"/>
          <w:b/>
          <w:bCs/>
          <w:color w:val="4270C1"/>
          <w:kern w:val="0"/>
          <w14:ligatures w14:val="none"/>
        </w:rPr>
        <w:t>g: REL 8008 Practicum in the Teaching of Religion II</w:t>
      </w:r>
      <w:r w:rsidR="0087640E" w:rsidRPr="00A50352">
        <w:rPr>
          <w:rFonts w:ascii="BookAntiqua" w:eastAsia="Times New Roman" w:hAnsi="BookAntiqua" w:cs="Times New Roman"/>
          <w:b/>
          <w:bCs/>
          <w:kern w:val="0"/>
          <w14:ligatures w14:val="none"/>
        </w:rPr>
        <w:t xml:space="preserve">: </w:t>
      </w:r>
      <w:r w:rsidRPr="00A50352">
        <w:rPr>
          <w:rFonts w:ascii="BookAntiqua" w:eastAsia="Times New Roman" w:hAnsi="BookAntiqua" w:cs="Times New Roman"/>
          <w:kern w:val="0"/>
          <w14:ligatures w14:val="none"/>
        </w:rPr>
        <w:t xml:space="preserve"> Students shadow a faculty member in one course, as approved by the GDR chair. In each case, </w:t>
      </w:r>
      <w:r w:rsidRPr="00A50352">
        <w:rPr>
          <w:rFonts w:ascii="BookAntiqua" w:eastAsia="Times New Roman" w:hAnsi="BookAntiqua" w:cs="Times New Roman"/>
          <w:kern w:val="0"/>
          <w14:ligatures w14:val="none"/>
        </w:rPr>
        <w:lastRenderedPageBreak/>
        <w:t xml:space="preserve">they and their faculty mentor commit to a limited number of hours (approximately 12) to discuss course planning, syllabus writing, lecture preparation, classroom observation, grading, and other matters relevant to teaching. </w:t>
      </w:r>
    </w:p>
    <w:p w14:paraId="31899042" w14:textId="77777777" w:rsidR="003214F3" w:rsidRDefault="00F8141F" w:rsidP="003214F3">
      <w:pPr>
        <w:pStyle w:val="ListParagraph"/>
        <w:numPr>
          <w:ilvl w:val="0"/>
          <w:numId w:val="5"/>
        </w:numPr>
      </w:pPr>
      <w:r w:rsidRPr="003214F3">
        <w:rPr>
          <w:rFonts w:ascii="BookAntiqua" w:eastAsia="Times New Roman" w:hAnsi="BookAntiqua" w:cs="Times New Roman"/>
          <w:b/>
          <w:bCs/>
          <w:kern w:val="0"/>
          <w14:ligatures w14:val="none"/>
        </w:rPr>
        <w:t>Forms</w:t>
      </w:r>
      <w:r w:rsidRPr="003214F3">
        <w:rPr>
          <w:rFonts w:ascii="BookAntiqua" w:eastAsia="Times New Roman" w:hAnsi="BookAntiqua" w:cs="Times New Roman"/>
          <w:kern w:val="0"/>
          <w14:ligatures w14:val="none"/>
        </w:rPr>
        <w:t>:</w:t>
      </w:r>
      <w:r w:rsidRPr="003214F3">
        <w:rPr>
          <w:rFonts w:ascii="BookAntiqua" w:eastAsia="Times New Roman" w:hAnsi="BookAntiqua" w:cs="Times New Roman"/>
          <w:kern w:val="0"/>
          <w14:ligatures w14:val="none"/>
        </w:rPr>
        <w:br/>
      </w:r>
      <w:r w:rsidRPr="003214F3">
        <w:rPr>
          <w:rFonts w:ascii="Wingdings" w:eastAsia="Times New Roman" w:hAnsi="Wingdings" w:cs="Times New Roman"/>
          <w:kern w:val="0"/>
          <w14:ligatures w14:val="none"/>
        </w:rPr>
        <w:t xml:space="preserve">§ </w:t>
      </w:r>
      <w:hyperlink r:id="rId6" w:history="1">
        <w:r w:rsidR="003214F3" w:rsidRPr="003214F3">
          <w:rPr>
            <w:rStyle w:val="Hyperlink"/>
            <w:rFonts w:ascii="Book Antiqua" w:hAnsi="Book Antiqua"/>
          </w:rPr>
          <w:t>Course Shadowing Agreement form</w:t>
        </w:r>
      </w:hyperlink>
    </w:p>
    <w:p w14:paraId="0C4CDEDB" w14:textId="05701311" w:rsidR="00F8141F" w:rsidRPr="003214F3" w:rsidRDefault="00F8141F" w:rsidP="003214F3">
      <w:pPr>
        <w:pStyle w:val="ListParagraph"/>
        <w:spacing w:before="100" w:beforeAutospacing="1" w:after="100" w:afterAutospacing="1"/>
        <w:ind w:left="1080"/>
        <w:rPr>
          <w:rFonts w:ascii="Times New Roman" w:eastAsia="Times New Roman" w:hAnsi="Times New Roman" w:cs="Times New Roman"/>
          <w:kern w:val="0"/>
          <w14:ligatures w14:val="none"/>
        </w:rPr>
      </w:pPr>
    </w:p>
    <w:p w14:paraId="7C0E22F0" w14:textId="77777777" w:rsidR="00F8141F" w:rsidRPr="00F8141F" w:rsidRDefault="00F8141F" w:rsidP="00F8141F">
      <w:pPr>
        <w:spacing w:before="100" w:beforeAutospacing="1" w:after="100" w:afterAutospacing="1"/>
        <w:rPr>
          <w:rFonts w:ascii="Times New Roman" w:eastAsia="Times New Roman" w:hAnsi="Times New Roman" w:cs="Times New Roman"/>
          <w:kern w:val="0"/>
          <w14:ligatures w14:val="none"/>
        </w:rPr>
      </w:pPr>
      <w:r w:rsidRPr="00F8141F">
        <w:rPr>
          <w:rFonts w:ascii="BookAntiqua" w:eastAsia="Times New Roman" w:hAnsi="BookAntiqua" w:cs="Times New Roman"/>
          <w:b/>
          <w:bCs/>
          <w:color w:val="4270C1"/>
          <w:kern w:val="0"/>
          <w14:ligatures w14:val="none"/>
        </w:rPr>
        <w:t xml:space="preserve">Stage 2: Teaching Assistant Orientation (TAO), led by the Center for Teaching </w:t>
      </w:r>
    </w:p>
    <w:p w14:paraId="455F57E9" w14:textId="77777777" w:rsidR="00F8141F" w:rsidRPr="00F8141F" w:rsidRDefault="00F8141F" w:rsidP="00F8141F">
      <w:pPr>
        <w:spacing w:before="100" w:beforeAutospacing="1" w:after="100" w:afterAutospacing="1"/>
        <w:rPr>
          <w:rFonts w:ascii="Times New Roman" w:eastAsia="Times New Roman" w:hAnsi="Times New Roman" w:cs="Times New Roman"/>
          <w:kern w:val="0"/>
          <w14:ligatures w14:val="none"/>
        </w:rPr>
      </w:pPr>
      <w:r w:rsidRPr="00F8141F">
        <w:rPr>
          <w:rFonts w:ascii="SymbolMT" w:eastAsia="Times New Roman" w:hAnsi="SymbolMT" w:cs="Times New Roman"/>
          <w:kern w:val="0"/>
          <w14:ligatures w14:val="none"/>
        </w:rPr>
        <w:t xml:space="preserve">• </w:t>
      </w:r>
      <w:r w:rsidRPr="00F8141F">
        <w:rPr>
          <w:rFonts w:ascii="BookAntiqua" w:eastAsia="Times New Roman" w:hAnsi="BookAntiqua" w:cs="Times New Roman"/>
          <w:kern w:val="0"/>
          <w14:ligatures w14:val="none"/>
        </w:rPr>
        <w:t xml:space="preserve">Completed the summer before the beginning of the students’ second year, prior to their first services as at teaching assistants. (MA and PhD) </w:t>
      </w:r>
    </w:p>
    <w:p w14:paraId="75BC4FE5" w14:textId="77777777" w:rsidR="00F8141F" w:rsidRPr="00F8141F" w:rsidRDefault="00F8141F" w:rsidP="00F8141F">
      <w:pPr>
        <w:spacing w:before="100" w:beforeAutospacing="1" w:after="100" w:afterAutospacing="1"/>
        <w:rPr>
          <w:rFonts w:ascii="Times New Roman" w:eastAsia="Times New Roman" w:hAnsi="Times New Roman" w:cs="Times New Roman"/>
          <w:kern w:val="0"/>
          <w14:ligatures w14:val="none"/>
        </w:rPr>
      </w:pPr>
      <w:r w:rsidRPr="00F8141F">
        <w:rPr>
          <w:rFonts w:ascii="BookAntiqua" w:eastAsia="Times New Roman" w:hAnsi="BookAntiqua" w:cs="Times New Roman"/>
          <w:b/>
          <w:bCs/>
          <w:color w:val="4270C1"/>
          <w:kern w:val="0"/>
          <w14:ligatures w14:val="none"/>
        </w:rPr>
        <w:t xml:space="preserve">Stage 3: Teaching Assistantship </w:t>
      </w:r>
    </w:p>
    <w:p w14:paraId="5452049E" w14:textId="77777777" w:rsidR="00F8141F" w:rsidRPr="00F8141F" w:rsidRDefault="00F8141F" w:rsidP="00F8141F">
      <w:pPr>
        <w:numPr>
          <w:ilvl w:val="0"/>
          <w:numId w:val="2"/>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Designed as a mentoring activity, which begins with a written strategy mutually agreed to by the student and faculty member, outlining expectations and goals for the semester. (MA and PhD). </w:t>
      </w:r>
    </w:p>
    <w:p w14:paraId="3FB16C60" w14:textId="77777777" w:rsidR="00A50352" w:rsidRDefault="00F8141F" w:rsidP="00A50352">
      <w:pPr>
        <w:spacing w:before="100" w:beforeAutospacing="1" w:after="100" w:afterAutospacing="1"/>
        <w:ind w:left="720"/>
        <w:rPr>
          <w:rFonts w:ascii="SymbolMT" w:eastAsia="Times New Roman" w:hAnsi="SymbolMT" w:cs="Times New Roman"/>
          <w:kern w:val="0"/>
          <w14:ligatures w14:val="none"/>
        </w:rPr>
      </w:pPr>
      <w:r w:rsidRPr="00F8141F">
        <w:rPr>
          <w:rFonts w:ascii="CourierNewPSMT" w:eastAsia="Times New Roman" w:hAnsi="CourierNewPSMT" w:cs="Times New Roman"/>
          <w:kern w:val="0"/>
          <w14:ligatures w14:val="none"/>
        </w:rPr>
        <w:t xml:space="preserve">o </w:t>
      </w:r>
      <w:r w:rsidRPr="00F8141F">
        <w:rPr>
          <w:rFonts w:ascii="BookAntiqua" w:eastAsia="Times New Roman" w:hAnsi="BookAntiqua" w:cs="Times New Roman"/>
          <w:b/>
          <w:bCs/>
          <w:kern w:val="0"/>
          <w14:ligatures w14:val="none"/>
        </w:rPr>
        <w:t>Forms</w:t>
      </w:r>
      <w:r w:rsidRPr="00F8141F">
        <w:rPr>
          <w:rFonts w:ascii="BookAntiqua" w:eastAsia="Times New Roman" w:hAnsi="BookAntiqua" w:cs="Times New Roman"/>
          <w:kern w:val="0"/>
          <w14:ligatures w14:val="none"/>
        </w:rPr>
        <w:t xml:space="preserve">: </w:t>
      </w:r>
    </w:p>
    <w:p w14:paraId="22AC8E97" w14:textId="572D5BB9" w:rsidR="00F8141F" w:rsidRPr="00A50352" w:rsidRDefault="00000000" w:rsidP="00A50352">
      <w:pPr>
        <w:pStyle w:val="ListParagraph"/>
        <w:numPr>
          <w:ilvl w:val="0"/>
          <w:numId w:val="8"/>
        </w:numPr>
        <w:rPr>
          <w:rFonts w:ascii="Book Antiqua" w:hAnsi="Book Antiqua"/>
        </w:rPr>
      </w:pPr>
      <w:hyperlink r:id="rId7" w:history="1">
        <w:r w:rsidR="00A50352" w:rsidRPr="00A50352">
          <w:rPr>
            <w:rStyle w:val="Hyperlink"/>
            <w:rFonts w:ascii="Book Antiqua" w:hAnsi="Book Antiqua"/>
          </w:rPr>
          <w:t>Teaching Assistant Agreement Form</w:t>
        </w:r>
      </w:hyperlink>
      <w:r w:rsidR="00F8141F" w:rsidRPr="00A50352">
        <w:rPr>
          <w:rFonts w:ascii="BookAntiqua" w:eastAsia="Times New Roman" w:hAnsi="BookAntiqua" w:cs="Times New Roman"/>
          <w:kern w:val="0"/>
          <w14:ligatures w14:val="none"/>
        </w:rPr>
        <w:t xml:space="preserve">– Completed and signed by the faculty member (IOR), the teaching assistant, the advisor, and the GDR chair. Filed in the GDR office. </w:t>
      </w:r>
    </w:p>
    <w:p w14:paraId="309EA9F8" w14:textId="37537581" w:rsidR="00F8141F" w:rsidRPr="00F8141F" w:rsidRDefault="00F8141F" w:rsidP="00F8141F">
      <w:pPr>
        <w:numPr>
          <w:ilvl w:val="0"/>
          <w:numId w:val="2"/>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Each TA has an opportunity to lecture (a maximum of two lectures, preferably spaced out within the semester). The professor takes notes when TAs lecture and writes a brief report to be given to the students. (This report may also be helpful in writing future letters of recommendation.) The professor may also request that a representative from the Center for Teaching comment on the lecture or a recording of the lecture. </w:t>
      </w:r>
    </w:p>
    <w:p w14:paraId="51EB4C62" w14:textId="77777777" w:rsidR="00F8141F" w:rsidRPr="00F8141F" w:rsidRDefault="00F8141F" w:rsidP="00F8141F">
      <w:pPr>
        <w:spacing w:before="100" w:beforeAutospacing="1" w:after="100" w:afterAutospacing="1"/>
        <w:rPr>
          <w:rFonts w:ascii="Times New Roman" w:eastAsia="Times New Roman" w:hAnsi="Times New Roman" w:cs="Times New Roman"/>
          <w:kern w:val="0"/>
          <w14:ligatures w14:val="none"/>
        </w:rPr>
      </w:pPr>
      <w:r w:rsidRPr="00F8141F">
        <w:rPr>
          <w:rFonts w:ascii="BookAntiqua" w:eastAsia="Times New Roman" w:hAnsi="BookAntiqua" w:cs="Times New Roman"/>
          <w:b/>
          <w:bCs/>
          <w:color w:val="4270C1"/>
          <w:kern w:val="0"/>
          <w14:ligatures w14:val="none"/>
        </w:rPr>
        <w:t xml:space="preserve">Stage 4: Teaching Associateship </w:t>
      </w:r>
    </w:p>
    <w:p w14:paraId="4ADE3BC5" w14:textId="77777777" w:rsidR="00F8141F" w:rsidRPr="00F8141F" w:rsidRDefault="00F8141F" w:rsidP="00F8141F">
      <w:pPr>
        <w:numPr>
          <w:ilvl w:val="0"/>
          <w:numId w:val="3"/>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Optional but recommended to PhD students, beginning in their fourth year, who have served at least one semester as a teaching assistant. (PhD only.) </w:t>
      </w:r>
    </w:p>
    <w:p w14:paraId="1E3DA517" w14:textId="77777777" w:rsidR="00A50352" w:rsidRPr="00A50352" w:rsidRDefault="00F8141F" w:rsidP="00A50352">
      <w:pPr>
        <w:pStyle w:val="ListParagraph"/>
        <w:numPr>
          <w:ilvl w:val="0"/>
          <w:numId w:val="5"/>
        </w:numPr>
        <w:spacing w:before="100" w:beforeAutospacing="1" w:after="100" w:afterAutospacing="1"/>
        <w:rPr>
          <w:rFonts w:ascii="SymbolMT" w:eastAsia="Times New Roman" w:hAnsi="SymbolMT" w:cs="Times New Roman"/>
          <w:kern w:val="0"/>
          <w14:ligatures w14:val="none"/>
        </w:rPr>
      </w:pPr>
      <w:r w:rsidRPr="00A50352">
        <w:rPr>
          <w:rFonts w:ascii="BookAntiqua" w:eastAsia="Times New Roman" w:hAnsi="BookAntiqua" w:cs="Times New Roman"/>
          <w:kern w:val="0"/>
          <w14:ligatures w14:val="none"/>
        </w:rPr>
        <w:t xml:space="preserve">Forms: </w:t>
      </w:r>
    </w:p>
    <w:p w14:paraId="222AA304" w14:textId="7E6C5D21" w:rsidR="00F8141F" w:rsidRPr="00A50352" w:rsidRDefault="00000000" w:rsidP="00A50352">
      <w:pPr>
        <w:pStyle w:val="ListParagraph"/>
        <w:numPr>
          <w:ilvl w:val="0"/>
          <w:numId w:val="8"/>
        </w:numPr>
        <w:spacing w:before="100" w:beforeAutospacing="1" w:after="100" w:afterAutospacing="1"/>
        <w:rPr>
          <w:rFonts w:ascii="SymbolMT" w:eastAsia="Times New Roman" w:hAnsi="SymbolMT" w:cs="Times New Roman"/>
          <w:kern w:val="0"/>
          <w14:ligatures w14:val="none"/>
        </w:rPr>
      </w:pPr>
      <w:hyperlink r:id="rId8" w:history="1">
        <w:r w:rsidR="00A50352" w:rsidRPr="00A50352">
          <w:rPr>
            <w:rStyle w:val="Hyperlink"/>
            <w:rFonts w:ascii="Book Antiqua" w:hAnsi="Book Antiqua"/>
          </w:rPr>
          <w:t>Teaching Associate Agreement Form</w:t>
        </w:r>
      </w:hyperlink>
      <w:r w:rsidR="00F8141F" w:rsidRPr="00A50352">
        <w:rPr>
          <w:rFonts w:ascii="BookAntiqua" w:eastAsia="Times New Roman" w:hAnsi="BookAntiqua" w:cs="Times New Roman"/>
          <w:kern w:val="0"/>
          <w14:ligatures w14:val="none"/>
        </w:rPr>
        <w:t xml:space="preserve">– Completed and signed by the faculty member (IOR), the teaching associate, the advisor, and the GDR chair. Filed in the GDR office. </w:t>
      </w:r>
    </w:p>
    <w:p w14:paraId="58BC9B3B" w14:textId="77777777" w:rsidR="00F8141F" w:rsidRPr="00F8141F" w:rsidRDefault="00F8141F" w:rsidP="00F8141F">
      <w:pPr>
        <w:numPr>
          <w:ilvl w:val="0"/>
          <w:numId w:val="3"/>
        </w:numPr>
        <w:spacing w:before="100" w:beforeAutospacing="1" w:after="100" w:afterAutospacing="1"/>
        <w:rPr>
          <w:rFonts w:ascii="SymbolMT" w:eastAsia="Times New Roman" w:hAnsi="SymbolMT" w:cs="Times New Roman"/>
          <w:kern w:val="0"/>
          <w14:ligatures w14:val="none"/>
        </w:rPr>
      </w:pPr>
      <w:r w:rsidRPr="00F8141F">
        <w:rPr>
          <w:rFonts w:ascii="BookAntiqua" w:eastAsia="Times New Roman" w:hAnsi="BookAntiqua" w:cs="Times New Roman"/>
          <w:kern w:val="0"/>
          <w14:ligatures w14:val="none"/>
        </w:rPr>
        <w:t xml:space="preserve">Graduate students will co-teach a course with a faculty member. </w:t>
      </w:r>
    </w:p>
    <w:p w14:paraId="6ADAA8B5" w14:textId="77777777" w:rsidR="006C6198" w:rsidRDefault="006C6198"/>
    <w:p w14:paraId="5D6260A7" w14:textId="3D23E195" w:rsidR="00A50352" w:rsidRDefault="00A50352">
      <w:r>
        <w:t>**Updated January 2024</w:t>
      </w:r>
    </w:p>
    <w:sectPr w:rsidR="00A50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M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BookAntiqua">
    <w:altName w:val="Cambria"/>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NewPSMT">
    <w:altName w:val="Courier New"/>
    <w:panose1 w:val="020703090202050204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5BEF"/>
    <w:multiLevelType w:val="multilevel"/>
    <w:tmpl w:val="4262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7E11E1"/>
    <w:multiLevelType w:val="hybridMultilevel"/>
    <w:tmpl w:val="A906EA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1362D9"/>
    <w:multiLevelType w:val="hybridMultilevel"/>
    <w:tmpl w:val="EE76C6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3764E5"/>
    <w:multiLevelType w:val="multilevel"/>
    <w:tmpl w:val="ED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CC05A6"/>
    <w:multiLevelType w:val="hybridMultilevel"/>
    <w:tmpl w:val="B8C6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D48DC"/>
    <w:multiLevelType w:val="hybridMultilevel"/>
    <w:tmpl w:val="38825C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83404B"/>
    <w:multiLevelType w:val="hybridMultilevel"/>
    <w:tmpl w:val="97260B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3D0967"/>
    <w:multiLevelType w:val="multilevel"/>
    <w:tmpl w:val="EB4EB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4214B0"/>
    <w:multiLevelType w:val="hybridMultilevel"/>
    <w:tmpl w:val="D666A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5911DF"/>
    <w:multiLevelType w:val="hybridMultilevel"/>
    <w:tmpl w:val="C5062CBE"/>
    <w:lvl w:ilvl="0" w:tplc="B982479E">
      <w:numFmt w:val="bullet"/>
      <w:lvlText w:val="•"/>
      <w:lvlJc w:val="left"/>
      <w:pPr>
        <w:ind w:left="1080" w:hanging="360"/>
      </w:pPr>
      <w:rPr>
        <w:rFonts w:ascii="SymbolMT" w:eastAsia="Times New Roman" w:hAnsi="Symbol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33600B"/>
    <w:multiLevelType w:val="hybridMultilevel"/>
    <w:tmpl w:val="8A205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C5932"/>
    <w:multiLevelType w:val="hybridMultilevel"/>
    <w:tmpl w:val="53E861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32333913">
    <w:abstractNumId w:val="7"/>
  </w:num>
  <w:num w:numId="2" w16cid:durableId="428934178">
    <w:abstractNumId w:val="3"/>
  </w:num>
  <w:num w:numId="3" w16cid:durableId="773063362">
    <w:abstractNumId w:val="0"/>
  </w:num>
  <w:num w:numId="4" w16cid:durableId="1183012085">
    <w:abstractNumId w:val="11"/>
  </w:num>
  <w:num w:numId="5" w16cid:durableId="163202787">
    <w:abstractNumId w:val="1"/>
  </w:num>
  <w:num w:numId="6" w16cid:durableId="1383601117">
    <w:abstractNumId w:val="5"/>
  </w:num>
  <w:num w:numId="7" w16cid:durableId="1511992353">
    <w:abstractNumId w:val="6"/>
  </w:num>
  <w:num w:numId="8" w16cid:durableId="1715696501">
    <w:abstractNumId w:val="2"/>
  </w:num>
  <w:num w:numId="9" w16cid:durableId="181674738">
    <w:abstractNumId w:val="8"/>
  </w:num>
  <w:num w:numId="10" w16cid:durableId="1445271668">
    <w:abstractNumId w:val="9"/>
  </w:num>
  <w:num w:numId="11" w16cid:durableId="895698082">
    <w:abstractNumId w:val="4"/>
  </w:num>
  <w:num w:numId="12" w16cid:durableId="1570532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1F"/>
    <w:rsid w:val="00052743"/>
    <w:rsid w:val="0025714E"/>
    <w:rsid w:val="003214F3"/>
    <w:rsid w:val="00695A84"/>
    <w:rsid w:val="006C6198"/>
    <w:rsid w:val="0087640E"/>
    <w:rsid w:val="00960055"/>
    <w:rsid w:val="009D21AE"/>
    <w:rsid w:val="00A06E00"/>
    <w:rsid w:val="00A50352"/>
    <w:rsid w:val="00AA1E80"/>
    <w:rsid w:val="00F8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607B94"/>
  <w15:chartTrackingRefBased/>
  <w15:docId w15:val="{34B4CAD5-2F63-7A4E-A4D7-F02A0EE2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141F"/>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25714E"/>
    <w:pPr>
      <w:ind w:left="720"/>
      <w:contextualSpacing/>
    </w:pPr>
  </w:style>
  <w:style w:type="character" w:styleId="Hyperlink">
    <w:name w:val="Hyperlink"/>
    <w:basedOn w:val="DefaultParagraphFont"/>
    <w:uiPriority w:val="99"/>
    <w:semiHidden/>
    <w:unhideWhenUsed/>
    <w:rsid w:val="003214F3"/>
    <w:rPr>
      <w:color w:val="0563C1" w:themeColor="hyperlink"/>
      <w:u w:val="single"/>
    </w:rPr>
  </w:style>
  <w:style w:type="character" w:styleId="FollowedHyperlink">
    <w:name w:val="FollowedHyperlink"/>
    <w:basedOn w:val="DefaultParagraphFont"/>
    <w:uiPriority w:val="99"/>
    <w:semiHidden/>
    <w:unhideWhenUsed/>
    <w:rsid w:val="003214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49877">
      <w:bodyDiv w:val="1"/>
      <w:marLeft w:val="0"/>
      <w:marRight w:val="0"/>
      <w:marTop w:val="0"/>
      <w:marBottom w:val="0"/>
      <w:divBdr>
        <w:top w:val="none" w:sz="0" w:space="0" w:color="auto"/>
        <w:left w:val="none" w:sz="0" w:space="0" w:color="auto"/>
        <w:bottom w:val="none" w:sz="0" w:space="0" w:color="auto"/>
        <w:right w:val="none" w:sz="0" w:space="0" w:color="auto"/>
      </w:divBdr>
    </w:div>
    <w:div w:id="577056032">
      <w:bodyDiv w:val="1"/>
      <w:marLeft w:val="0"/>
      <w:marRight w:val="0"/>
      <w:marTop w:val="0"/>
      <w:marBottom w:val="0"/>
      <w:divBdr>
        <w:top w:val="none" w:sz="0" w:space="0" w:color="auto"/>
        <w:left w:val="none" w:sz="0" w:space="0" w:color="auto"/>
        <w:bottom w:val="none" w:sz="0" w:space="0" w:color="auto"/>
        <w:right w:val="none" w:sz="0" w:space="0" w:color="auto"/>
      </w:divBdr>
    </w:div>
    <w:div w:id="711268094">
      <w:bodyDiv w:val="1"/>
      <w:marLeft w:val="0"/>
      <w:marRight w:val="0"/>
      <w:marTop w:val="0"/>
      <w:marBottom w:val="0"/>
      <w:divBdr>
        <w:top w:val="none" w:sz="0" w:space="0" w:color="auto"/>
        <w:left w:val="none" w:sz="0" w:space="0" w:color="auto"/>
        <w:bottom w:val="none" w:sz="0" w:space="0" w:color="auto"/>
        <w:right w:val="none" w:sz="0" w:space="0" w:color="auto"/>
      </w:divBdr>
      <w:divsChild>
        <w:div w:id="1371879319">
          <w:marLeft w:val="0"/>
          <w:marRight w:val="0"/>
          <w:marTop w:val="0"/>
          <w:marBottom w:val="0"/>
          <w:divBdr>
            <w:top w:val="none" w:sz="0" w:space="0" w:color="auto"/>
            <w:left w:val="none" w:sz="0" w:space="0" w:color="auto"/>
            <w:bottom w:val="none" w:sz="0" w:space="0" w:color="auto"/>
            <w:right w:val="none" w:sz="0" w:space="0" w:color="auto"/>
          </w:divBdr>
          <w:divsChild>
            <w:div w:id="1640694643">
              <w:marLeft w:val="0"/>
              <w:marRight w:val="0"/>
              <w:marTop w:val="0"/>
              <w:marBottom w:val="0"/>
              <w:divBdr>
                <w:top w:val="none" w:sz="0" w:space="0" w:color="auto"/>
                <w:left w:val="none" w:sz="0" w:space="0" w:color="auto"/>
                <w:bottom w:val="none" w:sz="0" w:space="0" w:color="auto"/>
                <w:right w:val="none" w:sz="0" w:space="0" w:color="auto"/>
              </w:divBdr>
              <w:divsChild>
                <w:div w:id="6812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74064">
      <w:bodyDiv w:val="1"/>
      <w:marLeft w:val="0"/>
      <w:marRight w:val="0"/>
      <w:marTop w:val="0"/>
      <w:marBottom w:val="0"/>
      <w:divBdr>
        <w:top w:val="none" w:sz="0" w:space="0" w:color="auto"/>
        <w:left w:val="none" w:sz="0" w:space="0" w:color="auto"/>
        <w:bottom w:val="none" w:sz="0" w:space="0" w:color="auto"/>
        <w:right w:val="none" w:sz="0" w:space="0" w:color="auto"/>
      </w:divBdr>
    </w:div>
    <w:div w:id="1309477927">
      <w:bodyDiv w:val="1"/>
      <w:marLeft w:val="0"/>
      <w:marRight w:val="0"/>
      <w:marTop w:val="0"/>
      <w:marBottom w:val="0"/>
      <w:divBdr>
        <w:top w:val="none" w:sz="0" w:space="0" w:color="auto"/>
        <w:left w:val="none" w:sz="0" w:space="0" w:color="auto"/>
        <w:bottom w:val="none" w:sz="0" w:space="0" w:color="auto"/>
        <w:right w:val="none" w:sz="0" w:space="0" w:color="auto"/>
      </w:divBdr>
      <w:divsChild>
        <w:div w:id="142160884">
          <w:marLeft w:val="0"/>
          <w:marRight w:val="0"/>
          <w:marTop w:val="0"/>
          <w:marBottom w:val="0"/>
          <w:divBdr>
            <w:top w:val="none" w:sz="0" w:space="0" w:color="auto"/>
            <w:left w:val="none" w:sz="0" w:space="0" w:color="auto"/>
            <w:bottom w:val="none" w:sz="0" w:space="0" w:color="auto"/>
            <w:right w:val="none" w:sz="0" w:space="0" w:color="auto"/>
          </w:divBdr>
          <w:divsChild>
            <w:div w:id="1940597116">
              <w:marLeft w:val="0"/>
              <w:marRight w:val="0"/>
              <w:marTop w:val="0"/>
              <w:marBottom w:val="0"/>
              <w:divBdr>
                <w:top w:val="none" w:sz="0" w:space="0" w:color="auto"/>
                <w:left w:val="none" w:sz="0" w:space="0" w:color="auto"/>
                <w:bottom w:val="none" w:sz="0" w:space="0" w:color="auto"/>
                <w:right w:val="none" w:sz="0" w:space="0" w:color="auto"/>
              </w:divBdr>
              <w:divsChild>
                <w:div w:id="3099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16859">
          <w:marLeft w:val="0"/>
          <w:marRight w:val="0"/>
          <w:marTop w:val="0"/>
          <w:marBottom w:val="0"/>
          <w:divBdr>
            <w:top w:val="none" w:sz="0" w:space="0" w:color="auto"/>
            <w:left w:val="none" w:sz="0" w:space="0" w:color="auto"/>
            <w:bottom w:val="none" w:sz="0" w:space="0" w:color="auto"/>
            <w:right w:val="none" w:sz="0" w:space="0" w:color="auto"/>
          </w:divBdr>
          <w:divsChild>
            <w:div w:id="420374147">
              <w:marLeft w:val="0"/>
              <w:marRight w:val="0"/>
              <w:marTop w:val="0"/>
              <w:marBottom w:val="0"/>
              <w:divBdr>
                <w:top w:val="none" w:sz="0" w:space="0" w:color="auto"/>
                <w:left w:val="none" w:sz="0" w:space="0" w:color="auto"/>
                <w:bottom w:val="none" w:sz="0" w:space="0" w:color="auto"/>
                <w:right w:val="none" w:sz="0" w:space="0" w:color="auto"/>
              </w:divBdr>
              <w:divsChild>
                <w:div w:id="12519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3722">
          <w:marLeft w:val="0"/>
          <w:marRight w:val="0"/>
          <w:marTop w:val="0"/>
          <w:marBottom w:val="0"/>
          <w:divBdr>
            <w:top w:val="none" w:sz="0" w:space="0" w:color="auto"/>
            <w:left w:val="none" w:sz="0" w:space="0" w:color="auto"/>
            <w:bottom w:val="none" w:sz="0" w:space="0" w:color="auto"/>
            <w:right w:val="none" w:sz="0" w:space="0" w:color="auto"/>
          </w:divBdr>
          <w:divsChild>
            <w:div w:id="468401827">
              <w:marLeft w:val="0"/>
              <w:marRight w:val="0"/>
              <w:marTop w:val="0"/>
              <w:marBottom w:val="0"/>
              <w:divBdr>
                <w:top w:val="none" w:sz="0" w:space="0" w:color="auto"/>
                <w:left w:val="none" w:sz="0" w:space="0" w:color="auto"/>
                <w:bottom w:val="none" w:sz="0" w:space="0" w:color="auto"/>
                <w:right w:val="none" w:sz="0" w:space="0" w:color="auto"/>
              </w:divBdr>
              <w:divsChild>
                <w:div w:id="20465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ap.vanderbilt.edu/surveys/?s=NPYPNLJEXH" TargetMode="External"/><Relationship Id="rId3" Type="http://schemas.openxmlformats.org/officeDocument/2006/relationships/settings" Target="settings.xml"/><Relationship Id="rId7" Type="http://schemas.openxmlformats.org/officeDocument/2006/relationships/hyperlink" Target="https://redcap.vanderbilt.edu/surveys/?s=8YFRWMLY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dcap.vanderbilt.edu/surveys/?s=47EJ4N99FY" TargetMode="External"/><Relationship Id="rId5" Type="http://schemas.openxmlformats.org/officeDocument/2006/relationships/hyperlink" Target="https://redcap.vanderbilt.edu/surveys/?s=R8MKKEC34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Merri S</dc:creator>
  <cp:keywords/>
  <dc:description/>
  <cp:lastModifiedBy>Collins, Merri S</cp:lastModifiedBy>
  <cp:revision>10</cp:revision>
  <cp:lastPrinted>2024-02-13T17:00:00Z</cp:lastPrinted>
  <dcterms:created xsi:type="dcterms:W3CDTF">2024-01-29T21:26:00Z</dcterms:created>
  <dcterms:modified xsi:type="dcterms:W3CDTF">2024-02-13T17:01:00Z</dcterms:modified>
</cp:coreProperties>
</file>