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3754" w14:textId="77777777" w:rsidR="00F90826" w:rsidRPr="00F90826" w:rsidRDefault="00F90826" w:rsidP="00F90826">
      <w:pPr>
        <w:shd w:val="clear" w:color="auto" w:fill="FFFFFF"/>
        <w:spacing w:before="300" w:after="150" w:line="240" w:lineRule="auto"/>
        <w:outlineLvl w:val="0"/>
        <w:rPr>
          <w:rFonts w:ascii="Roboto" w:eastAsia="Times New Roman" w:hAnsi="Roboto" w:cs="Open Sans"/>
          <w:color w:val="02535A"/>
          <w:kern w:val="36"/>
          <w:sz w:val="48"/>
          <w:szCs w:val="48"/>
        </w:rPr>
      </w:pPr>
      <w:r w:rsidRPr="00F90826">
        <w:rPr>
          <w:rFonts w:ascii="Roboto" w:eastAsia="Times New Roman" w:hAnsi="Roboto" w:cs="Open Sans"/>
          <w:color w:val="02535A"/>
          <w:kern w:val="36"/>
          <w:sz w:val="48"/>
          <w:szCs w:val="48"/>
        </w:rPr>
        <w:t>Health Sciences Committee #2</w:t>
      </w:r>
    </w:p>
    <w:p w14:paraId="19057EFD" w14:textId="77777777" w:rsidR="00F90826" w:rsidRPr="00F90826" w:rsidRDefault="00F90826" w:rsidP="00F90826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</w:rPr>
      </w:pPr>
      <w:r w:rsidRPr="00F90826">
        <w:rPr>
          <w:rFonts w:ascii="inherit" w:eastAsia="Times New Roman" w:hAnsi="inherit" w:cs="Open Sans"/>
          <w:b/>
          <w:bCs/>
          <w:color w:val="333333"/>
          <w:sz w:val="24"/>
          <w:szCs w:val="24"/>
        </w:rPr>
        <w:t>Vanderbilt Human Research Protection Program</w:t>
      </w:r>
      <w:r w:rsidRPr="00F90826">
        <w:rPr>
          <w:rFonts w:ascii="inherit" w:eastAsia="Times New Roman" w:hAnsi="inherit" w:cs="Open Sans"/>
          <w:b/>
          <w:bCs/>
          <w:color w:val="333333"/>
          <w:sz w:val="24"/>
          <w:szCs w:val="24"/>
        </w:rPr>
        <w:br/>
        <w:t>Health Sciences Committee 2 – Institutional Review Board</w:t>
      </w:r>
      <w:r w:rsidRPr="00F90826">
        <w:rPr>
          <w:rFonts w:ascii="inherit" w:eastAsia="Times New Roman" w:hAnsi="inherit" w:cs="Open Sans"/>
          <w:b/>
          <w:bCs/>
          <w:color w:val="333333"/>
          <w:sz w:val="24"/>
          <w:szCs w:val="24"/>
        </w:rPr>
        <w:br/>
        <w:t>OHRP Registration Identification – IRB00000476</w:t>
      </w:r>
    </w:p>
    <w:p w14:paraId="02E571DA" w14:textId="77777777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 </w:t>
      </w:r>
    </w:p>
    <w:p w14:paraId="374D65AD" w14:textId="77777777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The Health Sciences Committee 2 meets every Wednesday of the month at 11:00AM. Meeting locations are subject to change. Please call the VHRPP office to confirm meeting location (322-2918).</w:t>
      </w:r>
    </w:p>
    <w:p w14:paraId="2F428182" w14:textId="77777777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Effective – May 16, 2022</w:t>
      </w:r>
    </w:p>
    <w:p w14:paraId="256F12AC" w14:textId="77777777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VOTING MEMBERS (10)</w:t>
      </w:r>
    </w:p>
    <w:p w14:paraId="312C1E09" w14:textId="6C4AD942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 xml:space="preserve">Manus Donahue, Ph.D. 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–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 xml:space="preserve">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Radiology, Neurology</w:t>
      </w:r>
    </w:p>
    <w:p w14:paraId="0489190A" w14:textId="277C72BF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Elizabeth Davis, M.D. - Vice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Hematology, Oncology</w:t>
      </w:r>
    </w:p>
    <w:p w14:paraId="1A9238FA" w14:textId="0DC707A1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Bret Alvis, M.D.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Critical Care/ Anesthesiology</w:t>
      </w:r>
    </w:p>
    <w:p w14:paraId="76A085F7" w14:textId="2A796290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Brenton Harrison, BBA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Business, Community Member (NS)</w:t>
      </w:r>
    </w:p>
    <w:p w14:paraId="074048F3" w14:textId="1D358D45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Christopher Hughes,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Anesthesiology, Critical Care</w:t>
      </w:r>
    </w:p>
    <w:p w14:paraId="483B3B43" w14:textId="1455088C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Anna Lopez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Prisoner Rep, Community Member (NS)</w:t>
      </w:r>
    </w:p>
    <w:p w14:paraId="235D60E5" w14:textId="0875234D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Cathy Maxwell, Ph.D., RN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Nursing, Research on Aging</w:t>
      </w:r>
    </w:p>
    <w:p w14:paraId="505AE5B7" w14:textId="1C433F3A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Sanjay Mohan,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Hematology, Oncology</w:t>
      </w:r>
    </w:p>
    <w:p w14:paraId="4A2B83FB" w14:textId="200C510D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Jason Park, MD,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Otolaryngology</w:t>
      </w:r>
    </w:p>
    <w:p w14:paraId="0273209C" w14:textId="4976A88C" w:rsidR="00F90826" w:rsidRPr="00F90826" w:rsidRDefault="00F90826" w:rsidP="00F90826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Joern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-Hendrik Weitkamp,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Neonatology, Pediatric Infectious Disease</w:t>
      </w:r>
    </w:p>
    <w:p w14:paraId="754A7578" w14:textId="682CEE28" w:rsidR="00F16981" w:rsidRDefault="00F16981">
      <w:pPr>
        <w:rPr>
          <w:rFonts w:ascii="Open Sans" w:eastAsia="Times New Roman" w:hAnsi="Open Sans" w:cs="Open Sans"/>
          <w:color w:val="333333"/>
          <w:sz w:val="24"/>
          <w:szCs w:val="24"/>
        </w:rPr>
      </w:pPr>
    </w:p>
    <w:p w14:paraId="6C5D6DD6" w14:textId="77777777" w:rsidR="00F90826" w:rsidRPr="00F90826" w:rsidRDefault="00F90826" w:rsidP="00F908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-300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Roboto" w:eastAsia="Times New Roman" w:hAnsi="Roboto" w:cs="Open Sans"/>
          <w:color w:val="333333"/>
          <w:sz w:val="26"/>
          <w:szCs w:val="26"/>
        </w:rPr>
        <w:t>Alternate Members</w:t>
      </w:r>
    </w:p>
    <w:p w14:paraId="574BA10E" w14:textId="77777777" w:rsidR="00F90826" w:rsidRPr="00F90826" w:rsidRDefault="00F90826" w:rsidP="00F90826">
      <w:pPr>
        <w:shd w:val="clear" w:color="auto" w:fill="FFFFFF"/>
        <w:spacing w:after="225" w:line="240" w:lineRule="auto"/>
        <w:ind w:left="495" w:right="-300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Mallory Blasingame, MA - Library Sciences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Jennifer Bounds - Homemaker, Community Member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Naweed Chowdhury, MD - Otolaryngology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Ciaran Considine, Ph.D. - Neurology, Cognitive Disorders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lastRenderedPageBreak/>
        <w:t>Mistey Cook, BS - Public Relations, Community Member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Hernan Correa, MD - Pediatric Pathology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Stephany Duda, Ph.D. - Biomedical Informatics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Elizabeth Harris, </w:t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MSEdu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 xml:space="preserve">, BS Mech Engineering, BS </w:t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PhySci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 xml:space="preserve"> - Prisoner Representative, Community Member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Jonathan </w:t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Hiskey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, PhD - Political Science, Sociology, Latin Studies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Natalia Jimenez, Ph.D. - Pediatrics Infectious Disease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Burl Johnson, BA - Law Enforcement, Community Member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Lani </w:t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Kajihara-liehr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, DNP - Pediatrics, Nursing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Taneya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 xml:space="preserve"> Koonce, MSLS, MPH - Information Sciences, Public Health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Sheila </w:t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Kusnoor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, Ph.D. - Neuroscience/Health Knowledge Information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Marianna </w:t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LaNoue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, PhD - Psychology/ Geriatrics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Joshua </w:t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Lawrenz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, MD - Musculoskeletal Oncology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Jennifer Ledford, PhD - Special Education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James Muldowney, MD - Cardiology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Harvey Murff, M.D. - Internal Medicine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Helen Naylor - Biochemistry; Informatics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Jeremy Neal, PhD, CNM, RN - Nursing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Maria Niarchou, PhD - Genetic Medicine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Michael </w:t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O'connor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, M.D. - Pediatric Pulmonology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Soha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 xml:space="preserve"> Patel, MD - Obstetrics and Gynecology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Neeraja Peterson, M.D. - Internal Medicine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Carolyn Rambo, BA - Business, German, Community Member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Leshana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 xml:space="preserve"> Saint Jean, PhD - Sickle Cell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Megan Saylor, PhD - Psychology and Human Development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Eric Shinohara, M.D. - Radiation Oncology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Megan Simmons, DNP, PMHNP-BC - Geriatric Nursing, Mental Health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Jason Slagle, PhD - Human Factors, Organizational Psychology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Kimberly Towers, BS - Law Enforcement, Community Member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Annette </w:t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Vannilam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, MD - Pediatric Gastroenterology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Emmanuel Volanakis, MD - Pediatric Hematology, Oncology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Kathleen VonWahlde, MJ, BA, CCRP - Otolaryngology/Oncology, Clinical Trial Management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Mary Washington, M.D., Ph.D. - Pathology, Immunology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Amy </w:t>
      </w:r>
      <w:proofErr w:type="spellStart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Weitlauf</w:t>
      </w:r>
      <w:proofErr w:type="spellEnd"/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t>, Assistant Professor of Pediatrics - Pediatric Psychology, Autism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James Wilkinson, MD, MPH - Pediatrics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Saralyn Williams, M.D. - Emergency Medicine, Pediatrics, Toxicology</w:t>
      </w:r>
      <w:r w:rsidRPr="00F90826">
        <w:rPr>
          <w:rFonts w:ascii="Open Sans" w:eastAsia="Times New Roman" w:hAnsi="Open Sans" w:cs="Open Sans"/>
          <w:color w:val="333333"/>
          <w:sz w:val="24"/>
          <w:szCs w:val="24"/>
        </w:rPr>
        <w:br/>
        <w:t>Jo Wilson, MD, MPH - Psychiatry, Epidemiology</w:t>
      </w:r>
    </w:p>
    <w:p w14:paraId="1EB95292" w14:textId="77777777" w:rsidR="00F90826" w:rsidRDefault="00F90826"/>
    <w:sectPr w:rsidR="00F90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76596"/>
    <w:multiLevelType w:val="multilevel"/>
    <w:tmpl w:val="D35E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76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26"/>
    <w:rsid w:val="00F16981"/>
    <w:rsid w:val="00F9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16A7"/>
  <w15:chartTrackingRefBased/>
  <w15:docId w15:val="{1D0BA367-4EA8-46B5-889B-49DD81C1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F908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8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F908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ield">
    <w:name w:val="field"/>
    <w:basedOn w:val="DefaultParagraphFont"/>
    <w:rsid w:val="00F90826"/>
  </w:style>
  <w:style w:type="paragraph" w:styleId="NormalWeb">
    <w:name w:val="Normal (Web)"/>
    <w:basedOn w:val="Normal"/>
    <w:uiPriority w:val="99"/>
    <w:semiHidden/>
    <w:unhideWhenUsed/>
    <w:rsid w:val="00F90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20277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26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4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1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2022-09-07T14:28:00Z</dcterms:created>
  <dcterms:modified xsi:type="dcterms:W3CDTF">2022-09-07T14:31:00Z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2022-09-07T14:28:11Z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99d02566-408d-44d8-a8bb-64dd8267c57a</vt:lpwstr>
  </property>
  <property fmtid="{D5CDD505-2E9C-101B-9397-08002B2CF9AE}" pid="8" name="MSIP_Label_792c8cef-6f2b-4af1-b4ac-d815ff795cd6_ContentBits">
    <vt:lpwstr>0</vt:lpwstr>
  </property>
</Properties>
</file>