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B281" w14:textId="6393D77C" w:rsidR="00267764" w:rsidRPr="0097395B" w:rsidRDefault="00267764" w:rsidP="00267764">
      <w:pPr>
        <w:jc w:val="center"/>
        <w:rPr>
          <w:b/>
          <w:bCs/>
          <w:color w:val="A02B93" w:themeColor="accent5"/>
          <w:sz w:val="36"/>
          <w:szCs w:val="36"/>
          <w:u w:val="single"/>
        </w:rPr>
      </w:pPr>
      <w:r w:rsidRPr="0097395B">
        <w:rPr>
          <w:b/>
          <w:bCs/>
          <w:color w:val="A02B93" w:themeColor="accent5"/>
          <w:sz w:val="36"/>
          <w:szCs w:val="36"/>
          <w:u w:val="single"/>
        </w:rPr>
        <w:t xml:space="preserve">Study Closure Submission: Guidance </w:t>
      </w:r>
    </w:p>
    <w:p w14:paraId="3B414535" w14:textId="77777777" w:rsidR="00B64038" w:rsidRPr="00FB6885" w:rsidRDefault="00267764" w:rsidP="00267764">
      <w:pPr>
        <w:pStyle w:val="ListParagraph"/>
        <w:numPr>
          <w:ilvl w:val="0"/>
          <w:numId w:val="4"/>
        </w:numPr>
        <w:rPr>
          <w:b/>
          <w:bCs/>
          <w:sz w:val="22"/>
          <w:szCs w:val="22"/>
        </w:rPr>
      </w:pPr>
      <w:bookmarkStart w:id="0" w:name="_Hlk215650874"/>
      <w:r w:rsidRPr="00FB6885">
        <w:rPr>
          <w:sz w:val="22"/>
          <w:szCs w:val="22"/>
        </w:rPr>
        <w:t>A new submission type, called “</w:t>
      </w:r>
      <w:r w:rsidRPr="00FB6885">
        <w:rPr>
          <w:b/>
          <w:bCs/>
          <w:color w:val="A02B93" w:themeColor="accent5"/>
          <w:sz w:val="22"/>
          <w:szCs w:val="22"/>
        </w:rPr>
        <w:t>Study Closure</w:t>
      </w:r>
      <w:r w:rsidRPr="00FB6885">
        <w:rPr>
          <w:sz w:val="22"/>
          <w:szCs w:val="22"/>
        </w:rPr>
        <w:t xml:space="preserve">” will be implemented for use by investigators to close their study with the IRB. </w:t>
      </w:r>
    </w:p>
    <w:p w14:paraId="2836DC52" w14:textId="77777777" w:rsidR="001621AC" w:rsidRPr="00FB6885" w:rsidRDefault="00267764" w:rsidP="00267764">
      <w:pPr>
        <w:pStyle w:val="ListParagraph"/>
        <w:numPr>
          <w:ilvl w:val="0"/>
          <w:numId w:val="4"/>
        </w:numPr>
        <w:rPr>
          <w:b/>
          <w:bCs/>
          <w:sz w:val="22"/>
          <w:szCs w:val="22"/>
        </w:rPr>
      </w:pPr>
      <w:r w:rsidRPr="00FB6885">
        <w:rPr>
          <w:sz w:val="22"/>
          <w:szCs w:val="22"/>
        </w:rPr>
        <w:t xml:space="preserve">Instead of submitting a “Continuing Review” submission and selecting the option within the CR form to designate study closure, a study closure will be submitted </w:t>
      </w:r>
      <w:r w:rsidRPr="00FB6885">
        <w:rPr>
          <w:sz w:val="22"/>
          <w:szCs w:val="22"/>
          <w:u w:val="single"/>
        </w:rPr>
        <w:t>on its own submission type</w:t>
      </w:r>
      <w:r w:rsidRPr="00FB6885">
        <w:rPr>
          <w:sz w:val="22"/>
          <w:szCs w:val="22"/>
        </w:rPr>
        <w:t xml:space="preserve">. </w:t>
      </w:r>
    </w:p>
    <w:p w14:paraId="340FC6EB" w14:textId="767CAE47" w:rsidR="00267764" w:rsidRPr="00FB6885" w:rsidRDefault="00267764" w:rsidP="00267764">
      <w:pPr>
        <w:pStyle w:val="ListParagraph"/>
        <w:numPr>
          <w:ilvl w:val="0"/>
          <w:numId w:val="4"/>
        </w:numPr>
        <w:rPr>
          <w:b/>
          <w:bCs/>
          <w:sz w:val="22"/>
          <w:szCs w:val="22"/>
        </w:rPr>
      </w:pPr>
      <w:r w:rsidRPr="00FB6885">
        <w:rPr>
          <w:sz w:val="22"/>
          <w:szCs w:val="22"/>
        </w:rPr>
        <w:t xml:space="preserve">Additionally, the new Study Closure submission form has features built in that allow the member of KSP completing the form to route the submission to the Faculty Advisor, Department Chair, or Division Chief for signature </w:t>
      </w:r>
      <w:r w:rsidRPr="00FB6885">
        <w:rPr>
          <w:sz w:val="22"/>
          <w:szCs w:val="22"/>
          <w:u w:val="single"/>
        </w:rPr>
        <w:t>if the PI left VU/VUMC prior to closing their study</w:t>
      </w:r>
      <w:r w:rsidRPr="00FB6885">
        <w:rPr>
          <w:sz w:val="22"/>
          <w:szCs w:val="22"/>
        </w:rPr>
        <w:t xml:space="preserve">. </w:t>
      </w:r>
    </w:p>
    <w:bookmarkEnd w:id="0"/>
    <w:p w14:paraId="52008453" w14:textId="28FFA454" w:rsidR="007F7B95" w:rsidRPr="00FB6885" w:rsidRDefault="00267764" w:rsidP="00BD42A4">
      <w:pPr>
        <w:pStyle w:val="ListParagraph"/>
        <w:numPr>
          <w:ilvl w:val="0"/>
          <w:numId w:val="4"/>
        </w:numPr>
        <w:rPr>
          <w:sz w:val="22"/>
          <w:szCs w:val="22"/>
        </w:rPr>
      </w:pPr>
      <w:r w:rsidRPr="00EC292E">
        <w:rPr>
          <w:sz w:val="22"/>
          <w:szCs w:val="22"/>
        </w:rPr>
        <w:t xml:space="preserve">Allowing another individual with a leadership role to close a study if the PI left VU/VUMC ensures </w:t>
      </w:r>
      <w:r w:rsidR="00A91A12">
        <w:rPr>
          <w:sz w:val="22"/>
          <w:szCs w:val="22"/>
        </w:rPr>
        <w:t xml:space="preserve">the IRB is </w:t>
      </w:r>
      <w:r w:rsidRPr="00EC292E">
        <w:rPr>
          <w:sz w:val="22"/>
          <w:szCs w:val="22"/>
        </w:rPr>
        <w:t>still able to gather accurate information about the status of the study prior to closure. This ensures compliance with federal regulations/HRPP policies</w:t>
      </w:r>
      <w:r w:rsidR="00BD42A4">
        <w:rPr>
          <w:sz w:val="22"/>
          <w:szCs w:val="22"/>
        </w:rPr>
        <w:t>.</w:t>
      </w:r>
    </w:p>
    <w:p w14:paraId="725F1E9A" w14:textId="77777777" w:rsidR="007F7B95" w:rsidRPr="00FB6885" w:rsidRDefault="007F7B95" w:rsidP="00BF4436">
      <w:pPr>
        <w:ind w:left="360"/>
        <w:jc w:val="center"/>
        <w:rPr>
          <w:b/>
          <w:bCs/>
          <w:color w:val="A02B93" w:themeColor="accent5"/>
          <w:sz w:val="22"/>
          <w:szCs w:val="22"/>
        </w:rPr>
      </w:pPr>
    </w:p>
    <w:p w14:paraId="57E0E3D7" w14:textId="03E1B704" w:rsidR="007F7B95" w:rsidRPr="00FB6885" w:rsidRDefault="007F7B95" w:rsidP="007F7B95">
      <w:pPr>
        <w:pStyle w:val="ListParagraph"/>
        <w:numPr>
          <w:ilvl w:val="0"/>
          <w:numId w:val="5"/>
        </w:numPr>
        <w:rPr>
          <w:sz w:val="22"/>
          <w:szCs w:val="22"/>
        </w:rPr>
      </w:pPr>
      <w:r w:rsidRPr="00FB6885">
        <w:rPr>
          <w:sz w:val="22"/>
          <w:szCs w:val="22"/>
        </w:rPr>
        <w:t>This is what the Study Clo</w:t>
      </w:r>
      <w:r w:rsidR="00E96E77">
        <w:rPr>
          <w:sz w:val="22"/>
          <w:szCs w:val="22"/>
        </w:rPr>
        <w:t>s</w:t>
      </w:r>
      <w:r w:rsidRPr="00FB6885">
        <w:rPr>
          <w:sz w:val="22"/>
          <w:szCs w:val="22"/>
        </w:rPr>
        <w:t xml:space="preserve">ure submission looks like </w:t>
      </w:r>
      <w:r w:rsidR="00B46C51">
        <w:rPr>
          <w:sz w:val="22"/>
          <w:szCs w:val="22"/>
        </w:rPr>
        <w:t>from</w:t>
      </w:r>
      <w:r w:rsidRPr="00FB6885">
        <w:rPr>
          <w:sz w:val="22"/>
          <w:szCs w:val="22"/>
        </w:rPr>
        <w:t xml:space="preserve"> the </w:t>
      </w:r>
      <w:r w:rsidR="00B46C51" w:rsidRPr="00FB6885">
        <w:rPr>
          <w:sz w:val="22"/>
          <w:szCs w:val="22"/>
        </w:rPr>
        <w:t>researcher’s</w:t>
      </w:r>
      <w:r w:rsidRPr="00FB6885">
        <w:rPr>
          <w:sz w:val="22"/>
          <w:szCs w:val="22"/>
        </w:rPr>
        <w:t xml:space="preserve"> view:</w:t>
      </w:r>
    </w:p>
    <w:p w14:paraId="58214003" w14:textId="1BBA62DF" w:rsidR="0097395B" w:rsidRDefault="007F7B95" w:rsidP="0097395B">
      <w:pPr>
        <w:ind w:left="360"/>
        <w:jc w:val="center"/>
        <w:rPr>
          <w:b/>
          <w:bCs/>
          <w:sz w:val="22"/>
          <w:szCs w:val="22"/>
        </w:rPr>
      </w:pPr>
      <w:r w:rsidRPr="00FB6885">
        <w:rPr>
          <w:b/>
          <w:bCs/>
          <w:sz w:val="22"/>
          <w:szCs w:val="22"/>
        </w:rPr>
        <w:drawing>
          <wp:inline distT="0" distB="0" distL="0" distR="0" wp14:anchorId="77B6430B" wp14:editId="36FF7E08">
            <wp:extent cx="5946215" cy="3017577"/>
            <wp:effectExtent l="19050" t="19050" r="16510" b="11430"/>
            <wp:docPr id="48532162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21620" name="Picture 2" descr="A screenshot of a compu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5327" cy="3037425"/>
                    </a:xfrm>
                    <a:prstGeom prst="rect">
                      <a:avLst/>
                    </a:prstGeom>
                    <a:noFill/>
                    <a:ln w="12700">
                      <a:solidFill>
                        <a:schemeClr val="tx1"/>
                      </a:solidFill>
                    </a:ln>
                  </pic:spPr>
                </pic:pic>
              </a:graphicData>
            </a:graphic>
          </wp:inline>
        </w:drawing>
      </w:r>
    </w:p>
    <w:p w14:paraId="52A39DFA" w14:textId="77777777" w:rsidR="00422923" w:rsidRDefault="00422923" w:rsidP="0097395B">
      <w:pPr>
        <w:ind w:left="360"/>
        <w:jc w:val="center"/>
        <w:rPr>
          <w:b/>
          <w:bCs/>
          <w:sz w:val="22"/>
          <w:szCs w:val="22"/>
        </w:rPr>
      </w:pPr>
    </w:p>
    <w:p w14:paraId="787D1D0D" w14:textId="77777777" w:rsidR="0075628E" w:rsidRDefault="002C4FF4" w:rsidP="00153BBE">
      <w:pPr>
        <w:pStyle w:val="ListParagraph"/>
        <w:numPr>
          <w:ilvl w:val="0"/>
          <w:numId w:val="5"/>
        </w:numPr>
        <w:rPr>
          <w:sz w:val="22"/>
          <w:szCs w:val="22"/>
        </w:rPr>
      </w:pPr>
      <w:r w:rsidRPr="002C4FF4">
        <w:rPr>
          <w:sz w:val="22"/>
          <w:szCs w:val="22"/>
        </w:rPr>
        <w:t xml:space="preserve">If the </w:t>
      </w:r>
      <w:r>
        <w:rPr>
          <w:sz w:val="22"/>
          <w:szCs w:val="22"/>
        </w:rPr>
        <w:t>researcher</w:t>
      </w:r>
      <w:r w:rsidRPr="002C4FF4">
        <w:rPr>
          <w:sz w:val="22"/>
          <w:szCs w:val="22"/>
        </w:rPr>
        <w:t xml:space="preserve"> selects the option that the PI left VU/VUMC and the PI had a Faculty Advisor who is still here, the submission will automatically route to the Faculty Advisor for signature.</w:t>
      </w:r>
      <w:r w:rsidR="00153BBE">
        <w:rPr>
          <w:sz w:val="22"/>
          <w:szCs w:val="22"/>
        </w:rPr>
        <w:t xml:space="preserve"> </w:t>
      </w:r>
    </w:p>
    <w:p w14:paraId="421DF10E" w14:textId="77777777" w:rsidR="0075628E" w:rsidRDefault="0075628E" w:rsidP="0075628E">
      <w:pPr>
        <w:pStyle w:val="ListParagraph"/>
        <w:ind w:left="360"/>
        <w:rPr>
          <w:sz w:val="22"/>
          <w:szCs w:val="22"/>
        </w:rPr>
      </w:pPr>
    </w:p>
    <w:p w14:paraId="3CAC6B4A" w14:textId="72D074CE" w:rsidR="002C4FF4" w:rsidRDefault="002C4FF4" w:rsidP="0075628E">
      <w:pPr>
        <w:pStyle w:val="ListParagraph"/>
        <w:ind w:left="360"/>
        <w:rPr>
          <w:sz w:val="22"/>
          <w:szCs w:val="22"/>
        </w:rPr>
      </w:pPr>
      <w:r w:rsidRPr="00153BBE">
        <w:rPr>
          <w:sz w:val="22"/>
          <w:szCs w:val="22"/>
        </w:rPr>
        <w:t xml:space="preserve">If the study did not have a Faculty Advisor or the Faculty Advisor also left VU/VUMC, the </w:t>
      </w:r>
      <w:r w:rsidR="00153BBE">
        <w:rPr>
          <w:sz w:val="22"/>
          <w:szCs w:val="22"/>
        </w:rPr>
        <w:t>researcher</w:t>
      </w:r>
      <w:r w:rsidRPr="00153BBE">
        <w:rPr>
          <w:sz w:val="22"/>
          <w:szCs w:val="22"/>
        </w:rPr>
        <w:t xml:space="preserve"> will be prompted to enter the name of their Department Chair or Division Chief when they submit the Closure. The submission will route to that individual for signature. </w:t>
      </w:r>
    </w:p>
    <w:p w14:paraId="17CB5413" w14:textId="77777777" w:rsidR="00422923" w:rsidRDefault="00422923" w:rsidP="0075628E">
      <w:pPr>
        <w:pStyle w:val="ListParagraph"/>
        <w:ind w:left="360"/>
        <w:rPr>
          <w:sz w:val="22"/>
          <w:szCs w:val="22"/>
        </w:rPr>
      </w:pPr>
    </w:p>
    <w:p w14:paraId="38D88C64" w14:textId="0C789E73" w:rsidR="00422923" w:rsidRPr="00153BBE" w:rsidRDefault="00422923" w:rsidP="0075628E">
      <w:pPr>
        <w:pStyle w:val="ListParagraph"/>
        <w:ind w:left="360"/>
        <w:rPr>
          <w:sz w:val="22"/>
          <w:szCs w:val="22"/>
        </w:rPr>
      </w:pPr>
      <w:r>
        <w:rPr>
          <w:sz w:val="22"/>
          <w:szCs w:val="22"/>
        </w:rPr>
        <w:t>See screenshots below:</w:t>
      </w:r>
    </w:p>
    <w:p w14:paraId="0AD63F0B" w14:textId="0744E74D" w:rsidR="000B0871" w:rsidRPr="0097395B" w:rsidRDefault="000B0871" w:rsidP="0075628E">
      <w:pPr>
        <w:spacing w:after="0" w:line="240" w:lineRule="auto"/>
        <w:jc w:val="center"/>
        <w:rPr>
          <w:rFonts w:ascii="Times New Roman" w:eastAsia="Times New Roman" w:hAnsi="Times New Roman" w:cs="Times New Roman"/>
          <w:kern w:val="0"/>
          <w:sz w:val="22"/>
          <w:szCs w:val="22"/>
          <w14:ligatures w14:val="none"/>
        </w:rPr>
      </w:pPr>
      <w:bookmarkStart w:id="1" w:name="_Hlk215651078"/>
      <w:r w:rsidRPr="00FB6885">
        <w:rPr>
          <w:noProof/>
        </w:rPr>
        <w:drawing>
          <wp:inline distT="0" distB="0" distL="0" distR="0" wp14:anchorId="79FA1A77" wp14:editId="0A634BF7">
            <wp:extent cx="5325109" cy="3051696"/>
            <wp:effectExtent l="19050" t="19050" r="9525" b="15875"/>
            <wp:docPr id="5252264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2643" name="Picture 3"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6617" cy="3086945"/>
                    </a:xfrm>
                    <a:prstGeom prst="rect">
                      <a:avLst/>
                    </a:prstGeom>
                    <a:noFill/>
                    <a:ln w="12700">
                      <a:solidFill>
                        <a:schemeClr val="tx1"/>
                      </a:solidFill>
                    </a:ln>
                  </pic:spPr>
                </pic:pic>
              </a:graphicData>
            </a:graphic>
          </wp:inline>
        </w:drawing>
      </w:r>
    </w:p>
    <w:p w14:paraId="64257C8E" w14:textId="77777777" w:rsidR="00D06E47" w:rsidRPr="00FB6885" w:rsidRDefault="00D06E47" w:rsidP="000B0871">
      <w:pPr>
        <w:pStyle w:val="ListParagraph"/>
        <w:ind w:left="1800"/>
        <w:rPr>
          <w:sz w:val="22"/>
          <w:szCs w:val="22"/>
        </w:rPr>
      </w:pPr>
    </w:p>
    <w:p w14:paraId="5BDDD92C" w14:textId="77777777" w:rsidR="00FE5467" w:rsidRPr="00FE5467" w:rsidRDefault="00FE5467" w:rsidP="00FE5467">
      <w:pPr>
        <w:spacing w:after="0" w:line="240" w:lineRule="auto"/>
        <w:jc w:val="center"/>
        <w:rPr>
          <w:rFonts w:ascii="Times New Roman" w:eastAsia="Times New Roman" w:hAnsi="Times New Roman" w:cs="Times New Roman"/>
          <w:kern w:val="0"/>
          <w:sz w:val="22"/>
          <w:szCs w:val="22"/>
          <w14:ligatures w14:val="none"/>
        </w:rPr>
      </w:pPr>
      <w:r w:rsidRPr="00FE5467">
        <w:rPr>
          <w:rFonts w:ascii="Times New Roman" w:eastAsia="Times New Roman" w:hAnsi="Times New Roman" w:cs="Times New Roman"/>
          <w:noProof/>
          <w:kern w:val="0"/>
          <w:sz w:val="22"/>
          <w:szCs w:val="22"/>
          <w14:ligatures w14:val="none"/>
        </w:rPr>
        <w:drawing>
          <wp:inline distT="0" distB="0" distL="0" distR="0" wp14:anchorId="68E14805" wp14:editId="55A0334B">
            <wp:extent cx="5563848" cy="2396604"/>
            <wp:effectExtent l="19050" t="19050" r="18415" b="22860"/>
            <wp:docPr id="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screenshot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8721" cy="2411625"/>
                    </a:xfrm>
                    <a:prstGeom prst="rect">
                      <a:avLst/>
                    </a:prstGeom>
                    <a:noFill/>
                    <a:ln w="12700">
                      <a:solidFill>
                        <a:schemeClr val="tx1"/>
                      </a:solidFill>
                    </a:ln>
                  </pic:spPr>
                </pic:pic>
              </a:graphicData>
            </a:graphic>
          </wp:inline>
        </w:drawing>
      </w:r>
    </w:p>
    <w:bookmarkEnd w:id="1"/>
    <w:p w14:paraId="62519834" w14:textId="16556B47" w:rsidR="003F68F4" w:rsidRPr="0087055C" w:rsidRDefault="003F68F4" w:rsidP="0075628E">
      <w:pPr>
        <w:pStyle w:val="ListParagraph"/>
        <w:ind w:left="360"/>
        <w:rPr>
          <w:sz w:val="22"/>
          <w:szCs w:val="22"/>
        </w:rPr>
      </w:pPr>
    </w:p>
    <w:sectPr w:rsidR="003F68F4" w:rsidRPr="0087055C" w:rsidSect="00691C2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27C3" w14:textId="77777777" w:rsidR="00B61BD3" w:rsidRDefault="00B61BD3" w:rsidP="00FB6885">
      <w:pPr>
        <w:spacing w:after="0" w:line="240" w:lineRule="auto"/>
      </w:pPr>
      <w:r>
        <w:separator/>
      </w:r>
    </w:p>
  </w:endnote>
  <w:endnote w:type="continuationSeparator" w:id="0">
    <w:p w14:paraId="77AB6918" w14:textId="77777777" w:rsidR="00B61BD3" w:rsidRDefault="00B61BD3" w:rsidP="00FB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0C44" w14:textId="77777777" w:rsidR="00B61BD3" w:rsidRDefault="00B61BD3" w:rsidP="00FB6885">
      <w:pPr>
        <w:spacing w:after="0" w:line="240" w:lineRule="auto"/>
      </w:pPr>
      <w:r>
        <w:separator/>
      </w:r>
    </w:p>
  </w:footnote>
  <w:footnote w:type="continuationSeparator" w:id="0">
    <w:p w14:paraId="5C9991F8" w14:textId="77777777" w:rsidR="00B61BD3" w:rsidRDefault="00B61BD3" w:rsidP="00FB6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4DB3"/>
    <w:multiLevelType w:val="hybridMultilevel"/>
    <w:tmpl w:val="08A0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84CF0"/>
    <w:multiLevelType w:val="hybridMultilevel"/>
    <w:tmpl w:val="257C68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72023F"/>
    <w:multiLevelType w:val="hybridMultilevel"/>
    <w:tmpl w:val="4762ECF6"/>
    <w:lvl w:ilvl="0" w:tplc="519A13C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7F30A9"/>
    <w:multiLevelType w:val="hybridMultilevel"/>
    <w:tmpl w:val="6B16A9C6"/>
    <w:lvl w:ilvl="0" w:tplc="0BC858A0">
      <w:start w:val="1"/>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C9110BD"/>
    <w:multiLevelType w:val="hybridMultilevel"/>
    <w:tmpl w:val="24B817FA"/>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55138">
    <w:abstractNumId w:val="4"/>
  </w:num>
  <w:num w:numId="2" w16cid:durableId="1101532971">
    <w:abstractNumId w:val="0"/>
  </w:num>
  <w:num w:numId="3" w16cid:durableId="220334890">
    <w:abstractNumId w:val="3"/>
  </w:num>
  <w:num w:numId="4" w16cid:durableId="24140625">
    <w:abstractNumId w:val="1"/>
  </w:num>
  <w:num w:numId="5" w16cid:durableId="158132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F4"/>
    <w:rsid w:val="000B0871"/>
    <w:rsid w:val="000F278A"/>
    <w:rsid w:val="00153BBE"/>
    <w:rsid w:val="001621AC"/>
    <w:rsid w:val="00242245"/>
    <w:rsid w:val="00267764"/>
    <w:rsid w:val="002B39D1"/>
    <w:rsid w:val="002C4FF4"/>
    <w:rsid w:val="00321C8C"/>
    <w:rsid w:val="003850D0"/>
    <w:rsid w:val="003F68F4"/>
    <w:rsid w:val="00422923"/>
    <w:rsid w:val="005077B5"/>
    <w:rsid w:val="00691C2C"/>
    <w:rsid w:val="00695C9E"/>
    <w:rsid w:val="0075628E"/>
    <w:rsid w:val="00793505"/>
    <w:rsid w:val="007F7B95"/>
    <w:rsid w:val="0087055C"/>
    <w:rsid w:val="008E6565"/>
    <w:rsid w:val="009675CF"/>
    <w:rsid w:val="0097395B"/>
    <w:rsid w:val="00A91A12"/>
    <w:rsid w:val="00A97625"/>
    <w:rsid w:val="00B46C51"/>
    <w:rsid w:val="00B61BD3"/>
    <w:rsid w:val="00B64038"/>
    <w:rsid w:val="00BB31BA"/>
    <w:rsid w:val="00BD42A4"/>
    <w:rsid w:val="00BF4436"/>
    <w:rsid w:val="00C073B8"/>
    <w:rsid w:val="00D06E47"/>
    <w:rsid w:val="00E96E77"/>
    <w:rsid w:val="00EA0B99"/>
    <w:rsid w:val="00EC292E"/>
    <w:rsid w:val="00F023E5"/>
    <w:rsid w:val="00FB6885"/>
    <w:rsid w:val="00FE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1312"/>
  <w15:chartTrackingRefBased/>
  <w15:docId w15:val="{37919EC7-7062-4333-B2C6-FB00DEC7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64"/>
  </w:style>
  <w:style w:type="paragraph" w:styleId="Heading1">
    <w:name w:val="heading 1"/>
    <w:basedOn w:val="Normal"/>
    <w:next w:val="Normal"/>
    <w:link w:val="Heading1Char"/>
    <w:uiPriority w:val="9"/>
    <w:qFormat/>
    <w:rsid w:val="003F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F4"/>
    <w:rPr>
      <w:rFonts w:eastAsiaTheme="majorEastAsia" w:cstheme="majorBidi"/>
      <w:color w:val="272727" w:themeColor="text1" w:themeTint="D8"/>
    </w:rPr>
  </w:style>
  <w:style w:type="paragraph" w:styleId="Title">
    <w:name w:val="Title"/>
    <w:basedOn w:val="Normal"/>
    <w:next w:val="Normal"/>
    <w:link w:val="TitleChar"/>
    <w:uiPriority w:val="10"/>
    <w:qFormat/>
    <w:rsid w:val="003F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F4"/>
    <w:pPr>
      <w:spacing w:before="160"/>
      <w:jc w:val="center"/>
    </w:pPr>
    <w:rPr>
      <w:i/>
      <w:iCs/>
      <w:color w:val="404040" w:themeColor="text1" w:themeTint="BF"/>
    </w:rPr>
  </w:style>
  <w:style w:type="character" w:customStyle="1" w:styleId="QuoteChar">
    <w:name w:val="Quote Char"/>
    <w:basedOn w:val="DefaultParagraphFont"/>
    <w:link w:val="Quote"/>
    <w:uiPriority w:val="29"/>
    <w:rsid w:val="003F68F4"/>
    <w:rPr>
      <w:i/>
      <w:iCs/>
      <w:color w:val="404040" w:themeColor="text1" w:themeTint="BF"/>
    </w:rPr>
  </w:style>
  <w:style w:type="paragraph" w:styleId="ListParagraph">
    <w:name w:val="List Paragraph"/>
    <w:basedOn w:val="Normal"/>
    <w:uiPriority w:val="34"/>
    <w:qFormat/>
    <w:rsid w:val="003F68F4"/>
    <w:pPr>
      <w:ind w:left="720"/>
      <w:contextualSpacing/>
    </w:pPr>
  </w:style>
  <w:style w:type="character" w:styleId="IntenseEmphasis">
    <w:name w:val="Intense Emphasis"/>
    <w:basedOn w:val="DefaultParagraphFont"/>
    <w:uiPriority w:val="21"/>
    <w:qFormat/>
    <w:rsid w:val="003F68F4"/>
    <w:rPr>
      <w:i/>
      <w:iCs/>
      <w:color w:val="0F4761" w:themeColor="accent1" w:themeShade="BF"/>
    </w:rPr>
  </w:style>
  <w:style w:type="paragraph" w:styleId="IntenseQuote">
    <w:name w:val="Intense Quote"/>
    <w:basedOn w:val="Normal"/>
    <w:next w:val="Normal"/>
    <w:link w:val="IntenseQuoteChar"/>
    <w:uiPriority w:val="30"/>
    <w:qFormat/>
    <w:rsid w:val="003F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8F4"/>
    <w:rPr>
      <w:i/>
      <w:iCs/>
      <w:color w:val="0F4761" w:themeColor="accent1" w:themeShade="BF"/>
    </w:rPr>
  </w:style>
  <w:style w:type="character" w:styleId="IntenseReference">
    <w:name w:val="Intense Reference"/>
    <w:basedOn w:val="DefaultParagraphFont"/>
    <w:uiPriority w:val="32"/>
    <w:qFormat/>
    <w:rsid w:val="003F68F4"/>
    <w:rPr>
      <w:b/>
      <w:bCs/>
      <w:smallCaps/>
      <w:color w:val="0F4761" w:themeColor="accent1" w:themeShade="BF"/>
      <w:spacing w:val="5"/>
    </w:rPr>
  </w:style>
  <w:style w:type="paragraph" w:styleId="Header">
    <w:name w:val="header"/>
    <w:basedOn w:val="Normal"/>
    <w:link w:val="HeaderChar"/>
    <w:uiPriority w:val="99"/>
    <w:unhideWhenUsed/>
    <w:rsid w:val="00FB6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885"/>
  </w:style>
  <w:style w:type="paragraph" w:styleId="Footer">
    <w:name w:val="footer"/>
    <w:basedOn w:val="Normal"/>
    <w:link w:val="FooterChar"/>
    <w:uiPriority w:val="99"/>
    <w:unhideWhenUsed/>
    <w:rsid w:val="00FB6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188</Words>
  <Characters>1284</Characters>
  <Application>Microsoft Office Word</Application>
  <DocSecurity>0</DocSecurity>
  <Lines>116</Lines>
  <Paragraphs>58</Paragraphs>
  <ScaleCrop>false</ScaleCrop>
  <Company>VUMC</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11</cp:revision>
  <dcterms:created xsi:type="dcterms:W3CDTF">2025-12-05T16:37:00Z</dcterms:created>
  <dcterms:modified xsi:type="dcterms:W3CDTF">2025-12-05T16:43:00Z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2025-12-04T22:53:00Z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64e4435d-20bf-49d4-bf15-4903a8389b65</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