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3C733" w14:textId="5E4DC9B6" w:rsidR="00CD48F8" w:rsidRDefault="00CD48F8" w:rsidP="00F614DC">
      <w:pPr>
        <w:pBdr>
          <w:top w:val="single" w:sz="4" w:space="2" w:color="auto"/>
          <w:left w:val="single" w:sz="4" w:space="3" w:color="auto"/>
          <w:bottom w:val="single" w:sz="4" w:space="1" w:color="auto"/>
          <w:right w:val="single" w:sz="4" w:space="4" w:color="auto"/>
        </w:pBdr>
        <w:spacing w:after="0" w:line="240" w:lineRule="auto"/>
        <w:contextualSpacing/>
        <w:rPr>
          <w:rFonts w:cs="Times New Roman"/>
        </w:rPr>
      </w:pPr>
      <w:r w:rsidRPr="00EC7707">
        <w:rPr>
          <w:rFonts w:cs="Times New Roman"/>
          <w:b/>
        </w:rPr>
        <w:t>Instructions:</w:t>
      </w:r>
      <w:r w:rsidRPr="00EC7707">
        <w:rPr>
          <w:rFonts w:cs="Times New Roman"/>
        </w:rPr>
        <w:t xml:space="preserve"> The purpose of this document is to provide language for researchers and their institutions to adapt for federal grant applications when 1) the grant falls under the NIH Single IRB review policy or the researcher expects to streamline IRB review by using a single IRB, and 2) all or most of the institutions collaborating on the research have joined the SMART IRB Master Reliance Agreement</w:t>
      </w:r>
      <w:r w:rsidR="00F23F07">
        <w:rPr>
          <w:rFonts w:cs="Times New Roman"/>
        </w:rPr>
        <w:t xml:space="preserve"> and </w:t>
      </w:r>
      <w:r w:rsidR="00FE6339">
        <w:rPr>
          <w:rFonts w:cs="Times New Roman"/>
        </w:rPr>
        <w:t xml:space="preserve">have access to the </w:t>
      </w:r>
      <w:r w:rsidR="00F23F07">
        <w:rPr>
          <w:rFonts w:cs="Times New Roman"/>
        </w:rPr>
        <w:t>IRB Reliance Exchange (IREx)</w:t>
      </w:r>
      <w:r w:rsidRPr="00EC7707">
        <w:rPr>
          <w:rFonts w:cs="Times New Roman"/>
        </w:rPr>
        <w:t>.</w:t>
      </w:r>
    </w:p>
    <w:p w14:paraId="65CA630F" w14:textId="77777777" w:rsidR="00F614DC" w:rsidRPr="00EC7707" w:rsidRDefault="00F614DC" w:rsidP="00F614DC">
      <w:pPr>
        <w:pBdr>
          <w:top w:val="single" w:sz="4" w:space="2" w:color="auto"/>
          <w:left w:val="single" w:sz="4" w:space="3" w:color="auto"/>
          <w:bottom w:val="single" w:sz="4" w:space="1" w:color="auto"/>
          <w:right w:val="single" w:sz="4" w:space="4" w:color="auto"/>
        </w:pBdr>
        <w:spacing w:after="0" w:line="240" w:lineRule="auto"/>
        <w:contextualSpacing/>
        <w:rPr>
          <w:rFonts w:cs="Times New Roman"/>
        </w:rPr>
      </w:pPr>
    </w:p>
    <w:p w14:paraId="33D64509" w14:textId="69403A02" w:rsidR="00CD48F8" w:rsidRPr="00F614DC" w:rsidRDefault="00CD48F8" w:rsidP="00F614DC">
      <w:pPr>
        <w:pBdr>
          <w:top w:val="single" w:sz="4" w:space="2" w:color="auto"/>
          <w:left w:val="single" w:sz="4" w:space="3" w:color="auto"/>
          <w:bottom w:val="single" w:sz="4" w:space="1" w:color="auto"/>
          <w:right w:val="single" w:sz="4" w:space="4" w:color="auto"/>
        </w:pBdr>
        <w:spacing w:after="0" w:line="240" w:lineRule="auto"/>
        <w:contextualSpacing/>
        <w:rPr>
          <w:rFonts w:cs="Times New Roman"/>
          <w:b/>
        </w:rPr>
      </w:pPr>
      <w:r w:rsidRPr="00F614DC">
        <w:rPr>
          <w:rFonts w:cs="Times New Roman"/>
          <w:b/>
        </w:rPr>
        <w:t xml:space="preserve">Language that is in brackets </w:t>
      </w:r>
      <w:proofErr w:type="gramStart"/>
      <w:r w:rsidRPr="00F614DC">
        <w:rPr>
          <w:rFonts w:cs="Times New Roman"/>
          <w:b/>
        </w:rPr>
        <w:t>[ ]</w:t>
      </w:r>
      <w:proofErr w:type="gramEnd"/>
      <w:r w:rsidRPr="00F614DC">
        <w:rPr>
          <w:rFonts w:cs="Times New Roman"/>
          <w:b/>
        </w:rPr>
        <w:t xml:space="preserve"> and</w:t>
      </w:r>
      <w:r w:rsidR="0006606D">
        <w:rPr>
          <w:rFonts w:cs="Times New Roman"/>
          <w:b/>
        </w:rPr>
        <w:t xml:space="preserve"> </w:t>
      </w:r>
      <w:r w:rsidR="0006606D" w:rsidRPr="0006606D">
        <w:rPr>
          <w:rFonts w:cs="Times New Roman"/>
          <w:b/>
          <w:highlight w:val="yellow"/>
        </w:rPr>
        <w:t>shaded in yellow should be completed by the I</w:t>
      </w:r>
      <w:r w:rsidR="0006606D">
        <w:rPr>
          <w:rFonts w:cs="Times New Roman"/>
          <w:b/>
          <w:highlight w:val="yellow"/>
        </w:rPr>
        <w:t>RB</w:t>
      </w:r>
      <w:r w:rsidR="00BD51AF">
        <w:rPr>
          <w:rFonts w:cs="Times New Roman"/>
          <w:b/>
          <w:highlight w:val="yellow"/>
        </w:rPr>
        <w:t xml:space="preserve"> (pages 1 &amp; 3)</w:t>
      </w:r>
      <w:r w:rsidR="0006606D">
        <w:rPr>
          <w:rFonts w:cs="Times New Roman"/>
          <w:b/>
          <w:highlight w:val="yellow"/>
        </w:rPr>
        <w:t>.</w:t>
      </w:r>
      <w:r w:rsidR="0006606D">
        <w:rPr>
          <w:rFonts w:cs="Times New Roman"/>
          <w:b/>
        </w:rPr>
        <w:t xml:space="preserve"> Information</w:t>
      </w:r>
      <w:r w:rsidR="00BD51AF">
        <w:rPr>
          <w:rFonts w:cs="Times New Roman"/>
          <w:b/>
        </w:rPr>
        <w:t xml:space="preserve"> </w:t>
      </w:r>
      <w:r w:rsidRPr="005942A0">
        <w:rPr>
          <w:rFonts w:cs="Times New Roman"/>
          <w:b/>
          <w:highlight w:val="darkGray"/>
          <w:shd w:val="clear" w:color="auto" w:fill="BFBFBF" w:themeFill="background1" w:themeFillShade="BF"/>
        </w:rPr>
        <w:t xml:space="preserve">shaded in </w:t>
      </w:r>
      <w:r w:rsidRPr="00BD51AF">
        <w:rPr>
          <w:rFonts w:cs="Times New Roman"/>
          <w:b/>
          <w:highlight w:val="darkGray"/>
          <w:shd w:val="clear" w:color="auto" w:fill="BFBFBF" w:themeFill="background1" w:themeFillShade="BF"/>
        </w:rPr>
        <w:t>gray</w:t>
      </w:r>
      <w:r w:rsidRPr="00BD51AF">
        <w:rPr>
          <w:rFonts w:cs="Times New Roman"/>
          <w:b/>
          <w:highlight w:val="darkGray"/>
        </w:rPr>
        <w:t xml:space="preserve"> </w:t>
      </w:r>
      <w:r w:rsidRPr="0006606D">
        <w:rPr>
          <w:rFonts w:cs="Times New Roman"/>
          <w:b/>
          <w:highlight w:val="darkGray"/>
        </w:rPr>
        <w:t xml:space="preserve">may need to be modified </w:t>
      </w:r>
      <w:r w:rsidR="0006606D" w:rsidRPr="0006606D">
        <w:rPr>
          <w:rFonts w:cs="Times New Roman"/>
          <w:b/>
          <w:highlight w:val="darkGray"/>
        </w:rPr>
        <w:t>by the study tea</w:t>
      </w:r>
      <w:r w:rsidR="00BD51AF">
        <w:rPr>
          <w:rFonts w:cs="Times New Roman"/>
          <w:b/>
          <w:highlight w:val="darkGray"/>
        </w:rPr>
        <w:t>m (pages 1 &amp; 2)</w:t>
      </w:r>
      <w:r w:rsidR="0006606D">
        <w:rPr>
          <w:rFonts w:cs="Times New Roman"/>
          <w:b/>
        </w:rPr>
        <w:t xml:space="preserve"> </w:t>
      </w:r>
      <w:r w:rsidRPr="00F614DC">
        <w:rPr>
          <w:rFonts w:cs="Times New Roman"/>
          <w:b/>
        </w:rPr>
        <w:t>as appropriate to the funding situation.</w:t>
      </w:r>
    </w:p>
    <w:p w14:paraId="41E9CFC7" w14:textId="5FFE5855" w:rsidR="00CD48F8" w:rsidRPr="00CD48F8" w:rsidRDefault="00CD48F8" w:rsidP="00F614DC">
      <w:pPr>
        <w:spacing w:after="0" w:line="240" w:lineRule="auto"/>
        <w:contextualSpacing/>
        <w:jc w:val="center"/>
        <w:rPr>
          <w:rFonts w:cs="Times New Roman"/>
          <w:b/>
          <w:sz w:val="24"/>
          <w:szCs w:val="24"/>
        </w:rPr>
      </w:pPr>
      <w:r w:rsidRPr="00EC7707">
        <w:rPr>
          <w:rFonts w:cs="Times New Roman"/>
          <w:b/>
          <w:sz w:val="24"/>
          <w:szCs w:val="24"/>
        </w:rPr>
        <w:t xml:space="preserve">TEMPLATE DESCRIPTION OF </w:t>
      </w:r>
      <w:r w:rsidR="00F23F07">
        <w:rPr>
          <w:rFonts w:cs="Times New Roman"/>
          <w:b/>
          <w:sz w:val="24"/>
          <w:szCs w:val="24"/>
        </w:rPr>
        <w:t>THE SINGLE</w:t>
      </w:r>
      <w:r w:rsidR="00F23F07" w:rsidRPr="00EC7707">
        <w:rPr>
          <w:rFonts w:cs="Times New Roman"/>
          <w:b/>
          <w:sz w:val="24"/>
          <w:szCs w:val="24"/>
        </w:rPr>
        <w:t xml:space="preserve"> </w:t>
      </w:r>
      <w:r w:rsidRPr="00EC7707">
        <w:rPr>
          <w:rFonts w:cs="Times New Roman"/>
          <w:b/>
          <w:sz w:val="24"/>
          <w:szCs w:val="24"/>
        </w:rPr>
        <w:t xml:space="preserve">IRB </w:t>
      </w:r>
      <w:r w:rsidR="00F23F07">
        <w:rPr>
          <w:rFonts w:cs="Times New Roman"/>
          <w:b/>
          <w:sz w:val="24"/>
          <w:szCs w:val="24"/>
        </w:rPr>
        <w:t xml:space="preserve">INFRASTRUCTURE AND PLAN </w:t>
      </w:r>
      <w:r w:rsidRPr="00EC7707">
        <w:rPr>
          <w:rFonts w:cs="Times New Roman"/>
          <w:b/>
          <w:sz w:val="24"/>
          <w:szCs w:val="24"/>
        </w:rPr>
        <w:t>FOR GRANT APPLICATIONS</w:t>
      </w:r>
      <w:r w:rsidR="00BF556A">
        <w:rPr>
          <w:rFonts w:cs="Times New Roman"/>
          <w:b/>
          <w:sz w:val="24"/>
          <w:szCs w:val="24"/>
        </w:rPr>
        <w:t xml:space="preserve"> USING </w:t>
      </w:r>
      <w:r w:rsidR="00FE6339" w:rsidRPr="00FE6339">
        <w:rPr>
          <w:rFonts w:cs="Times New Roman"/>
          <w:b/>
          <w:sz w:val="24"/>
          <w:szCs w:val="24"/>
          <w:highlight w:val="yellow"/>
        </w:rPr>
        <w:t>[insert institution name here]</w:t>
      </w:r>
      <w:r w:rsidR="00FE6339">
        <w:rPr>
          <w:rFonts w:cs="Times New Roman"/>
          <w:b/>
          <w:sz w:val="24"/>
          <w:szCs w:val="24"/>
        </w:rPr>
        <w:t xml:space="preserve"> </w:t>
      </w:r>
      <w:r w:rsidR="00BF556A">
        <w:rPr>
          <w:rFonts w:cs="Times New Roman"/>
          <w:b/>
          <w:sz w:val="24"/>
          <w:szCs w:val="24"/>
        </w:rPr>
        <w:t>AS THE SINGLE IRB</w:t>
      </w:r>
    </w:p>
    <w:p w14:paraId="687E7F61" w14:textId="77777777" w:rsidR="00BF556A" w:rsidRDefault="00BF556A" w:rsidP="00F614DC">
      <w:pPr>
        <w:spacing w:after="0" w:line="240" w:lineRule="auto"/>
        <w:contextualSpacing/>
        <w:rPr>
          <w:rFonts w:cs="Times New Roman"/>
        </w:rPr>
      </w:pPr>
    </w:p>
    <w:p w14:paraId="3489495E" w14:textId="3B8FAD84" w:rsidR="00F23F07" w:rsidRDefault="00CD48F8" w:rsidP="00F614DC">
      <w:pPr>
        <w:spacing w:after="0" w:line="240" w:lineRule="auto"/>
        <w:contextualSpacing/>
        <w:rPr>
          <w:rFonts w:cs="Times New Roman"/>
        </w:rPr>
      </w:pPr>
      <w:r w:rsidRPr="00EC7707">
        <w:rPr>
          <w:rFonts w:cs="Times New Roman"/>
        </w:rPr>
        <w:t xml:space="preserve">This project will use the </w:t>
      </w:r>
      <w:r w:rsidRPr="00EC7707">
        <w:t>SMART IRB Master Common Reciprocal Institutional Review Board Authorization Agreement (SMART IRB Agreement)</w:t>
      </w:r>
      <w:r w:rsidR="00FE6339">
        <w:t xml:space="preserve"> </w:t>
      </w:r>
      <w:r w:rsidR="00F23F07">
        <w:t xml:space="preserve">and the IRB Reliance Exchange (IREx) </w:t>
      </w:r>
      <w:r w:rsidRPr="00EC7707">
        <w:rPr>
          <w:rFonts w:cs="Times New Roman"/>
        </w:rPr>
        <w:t xml:space="preserve">to support single IRB review </w:t>
      </w:r>
      <w:r w:rsidR="00E651D0">
        <w:rPr>
          <w:rFonts w:cs="Times New Roman"/>
        </w:rPr>
        <w:t>in compliance with the NIH policy on the Use of a Single Institutional Review Board (sIRB) for Multi-site Research.</w:t>
      </w:r>
      <w:r w:rsidRPr="00EC7707">
        <w:rPr>
          <w:rFonts w:cs="Times New Roman"/>
        </w:rPr>
        <w:t xml:space="preserve"> </w:t>
      </w:r>
    </w:p>
    <w:p w14:paraId="1E3BF021" w14:textId="6D3868C6" w:rsidR="00CD48F8" w:rsidRPr="00094F6F" w:rsidRDefault="00F23F07" w:rsidP="00F614DC">
      <w:pPr>
        <w:pStyle w:val="ListParagraph"/>
        <w:numPr>
          <w:ilvl w:val="0"/>
          <w:numId w:val="7"/>
        </w:numPr>
        <w:spacing w:after="0" w:line="240" w:lineRule="auto"/>
        <w:rPr>
          <w:rFonts w:asciiTheme="minorHAnsi" w:hAnsiTheme="minorHAnsi" w:cstheme="minorHAnsi"/>
        </w:rPr>
      </w:pPr>
      <w:r w:rsidRPr="00094F6F">
        <w:rPr>
          <w:b/>
        </w:rPr>
        <w:t>SMART IRB</w:t>
      </w:r>
      <w:r>
        <w:t xml:space="preserve">: </w:t>
      </w:r>
      <w:r w:rsidR="00CD48F8" w:rsidRPr="00F23F07">
        <w:t xml:space="preserve">Development of the </w:t>
      </w:r>
      <w:r w:rsidR="00CD48F8" w:rsidRPr="00EC7707">
        <w:t xml:space="preserve">SMART IRB Agreement </w:t>
      </w:r>
      <w:r w:rsidR="00CD48F8" w:rsidRPr="00F23F07">
        <w:t>was funded by the National Center for Advancing Translational Sciences (“NCATS”) at the National Institutes of Health (NIH) to be responsive to and serve as a roadmap for implementing</w:t>
      </w:r>
      <w:r w:rsidR="00E651D0">
        <w:t xml:space="preserve"> the NIH sIRB policy</w:t>
      </w:r>
      <w:r w:rsidR="00CD48F8" w:rsidRPr="00F23F07">
        <w:t xml:space="preserve">. SMART IRB streamlines and advances collaboration by establishing a common IRB authorization agreement and standardizing the roles and responsibilities of all parties involved in the review and conduct of multisite research.  Further, the SMART IRB Agreement outlines the responsibilities of all Participating Institutions, the Reviewing IRB, and Relying Institutions, in addition to detailing the </w:t>
      </w:r>
      <w:r w:rsidR="00CD48F8" w:rsidRPr="00094F6F">
        <w:rPr>
          <w:rFonts w:asciiTheme="minorHAnsi" w:hAnsiTheme="minorHAnsi" w:cstheme="minorHAnsi"/>
        </w:rPr>
        <w:t>communication plan between the Reviewing IRB and Relying Institutions.</w:t>
      </w:r>
    </w:p>
    <w:p w14:paraId="7416517C" w14:textId="26020010" w:rsidR="00094F6F" w:rsidRPr="00F614DC" w:rsidRDefault="00F23F07" w:rsidP="00F614DC">
      <w:pPr>
        <w:pStyle w:val="ListParagraph"/>
        <w:numPr>
          <w:ilvl w:val="0"/>
          <w:numId w:val="7"/>
        </w:numPr>
        <w:spacing w:after="0" w:line="240" w:lineRule="auto"/>
        <w:rPr>
          <w:rFonts w:asciiTheme="minorHAnsi" w:hAnsiTheme="minorHAnsi" w:cstheme="minorHAnsi"/>
        </w:rPr>
      </w:pPr>
      <w:r w:rsidRPr="00094F6F">
        <w:rPr>
          <w:rFonts w:asciiTheme="minorHAnsi" w:hAnsiTheme="minorHAnsi" w:cstheme="minorHAnsi"/>
          <w:b/>
        </w:rPr>
        <w:t xml:space="preserve">IRB Reliance </w:t>
      </w:r>
      <w:r w:rsidR="00094F6F" w:rsidRPr="00094F6F">
        <w:rPr>
          <w:rFonts w:asciiTheme="minorHAnsi" w:hAnsiTheme="minorHAnsi" w:cstheme="minorHAnsi"/>
          <w:b/>
        </w:rPr>
        <w:t>Exchange (IREx)</w:t>
      </w:r>
      <w:r w:rsidR="00094F6F" w:rsidRPr="00094F6F">
        <w:rPr>
          <w:rFonts w:asciiTheme="minorHAnsi" w:hAnsiTheme="minorHAnsi" w:cstheme="minorHAnsi"/>
        </w:rPr>
        <w:t xml:space="preserve">: </w:t>
      </w:r>
      <w:r w:rsidR="00FE6339" w:rsidRPr="00094F6F">
        <w:rPr>
          <w:rFonts w:asciiTheme="minorHAnsi" w:hAnsiTheme="minorHAnsi" w:cstheme="minorHAnsi"/>
        </w:rPr>
        <w:t xml:space="preserve">Development of IREx was funded by </w:t>
      </w:r>
      <w:r w:rsidR="00FE6339">
        <w:rPr>
          <w:rFonts w:asciiTheme="minorHAnsi" w:hAnsiTheme="minorHAnsi" w:cstheme="minorHAnsi"/>
        </w:rPr>
        <w:t xml:space="preserve">NCATS at the NIH </w:t>
      </w:r>
      <w:r w:rsidR="00FE6339" w:rsidRPr="00094F6F">
        <w:rPr>
          <w:rFonts w:asciiTheme="minorHAnsi" w:hAnsiTheme="minorHAnsi" w:cstheme="minorHAnsi"/>
        </w:rPr>
        <w:t>as part of the Trial Innovation Network (TIN</w:t>
      </w:r>
      <w:proofErr w:type="gramStart"/>
      <w:r w:rsidR="00FE6339">
        <w:rPr>
          <w:rFonts w:asciiTheme="minorHAnsi" w:hAnsiTheme="minorHAnsi" w:cstheme="minorHAnsi"/>
        </w:rPr>
        <w:t>), and</w:t>
      </w:r>
      <w:proofErr w:type="gramEnd"/>
      <w:r w:rsidR="00FE6339">
        <w:rPr>
          <w:rFonts w:asciiTheme="minorHAnsi" w:hAnsiTheme="minorHAnsi" w:cstheme="minorHAnsi"/>
        </w:rPr>
        <w:t xml:space="preserve"> can be used to support non-TIN studies implementing sIRB review, too</w:t>
      </w:r>
      <w:r w:rsidR="00FE6339" w:rsidRPr="00094F6F">
        <w:rPr>
          <w:rFonts w:asciiTheme="minorHAnsi" w:hAnsiTheme="minorHAnsi" w:cstheme="minorHAnsi"/>
        </w:rPr>
        <w:t>.</w:t>
      </w:r>
      <w:r w:rsidR="00FE6339">
        <w:rPr>
          <w:rFonts w:asciiTheme="minorHAnsi" w:hAnsiTheme="minorHAnsi" w:cstheme="minorHAnsi"/>
        </w:rPr>
        <w:t xml:space="preserve"> </w:t>
      </w:r>
      <w:r w:rsidR="008318C6">
        <w:rPr>
          <w:rFonts w:asciiTheme="minorHAnsi" w:hAnsiTheme="minorHAnsi" w:cstheme="minorHAnsi"/>
        </w:rPr>
        <w:t xml:space="preserve"> I</w:t>
      </w:r>
      <w:r w:rsidR="008318C6" w:rsidRPr="008318C6">
        <w:rPr>
          <w:rFonts w:asciiTheme="minorHAnsi" w:hAnsiTheme="minorHAnsi" w:cstheme="minorHAnsi"/>
        </w:rPr>
        <w:t xml:space="preserve">t was developed to support </w:t>
      </w:r>
      <w:r w:rsidR="00FE6339">
        <w:rPr>
          <w:rFonts w:asciiTheme="minorHAnsi" w:hAnsiTheme="minorHAnsi" w:cstheme="minorHAnsi"/>
        </w:rPr>
        <w:t xml:space="preserve">Human Research Protection Programs (HRPPs) and </w:t>
      </w:r>
      <w:r w:rsidR="008318C6" w:rsidRPr="008318C6">
        <w:rPr>
          <w:rFonts w:asciiTheme="minorHAnsi" w:hAnsiTheme="minorHAnsi" w:cstheme="minorHAnsi"/>
        </w:rPr>
        <w:t xml:space="preserve">IRBs, coordinating centers, and study teams implementing single IRB review for </w:t>
      </w:r>
      <w:r w:rsidR="00FE6339">
        <w:rPr>
          <w:rFonts w:asciiTheme="minorHAnsi" w:hAnsiTheme="minorHAnsi" w:cstheme="minorHAnsi"/>
        </w:rPr>
        <w:t>their study. This freely-available web-based portal is used to capture sIRB documentation</w:t>
      </w:r>
      <w:r w:rsidR="0006606D">
        <w:rPr>
          <w:rFonts w:asciiTheme="minorHAnsi" w:hAnsiTheme="minorHAnsi" w:cstheme="minorHAnsi"/>
        </w:rPr>
        <w:t xml:space="preserve"> </w:t>
      </w:r>
      <w:r w:rsidR="00FE6339">
        <w:rPr>
          <w:rFonts w:asciiTheme="minorHAnsi" w:hAnsiTheme="minorHAnsi" w:cstheme="minorHAnsi"/>
        </w:rPr>
        <w:t>– including cede decisions, study-specific local considerations, and site’s IRB approval documents. IREx is also used to support sIRB</w:t>
      </w:r>
      <w:r w:rsidR="00FE6339" w:rsidRPr="008318C6">
        <w:rPr>
          <w:rFonts w:asciiTheme="minorHAnsi" w:hAnsiTheme="minorHAnsi" w:cstheme="minorHAnsi"/>
        </w:rPr>
        <w:t xml:space="preserve"> </w:t>
      </w:r>
      <w:r w:rsidR="00FE6339">
        <w:rPr>
          <w:rFonts w:asciiTheme="minorHAnsi" w:hAnsiTheme="minorHAnsi" w:cstheme="minorHAnsi"/>
        </w:rPr>
        <w:t xml:space="preserve">coordination, which </w:t>
      </w:r>
      <w:r w:rsidR="0006606D">
        <w:rPr>
          <w:rFonts w:asciiTheme="minorHAnsi" w:hAnsiTheme="minorHAnsi" w:cstheme="minorHAnsi"/>
        </w:rPr>
        <w:t xml:space="preserve">includes tracking site readiness for sIRB review, facilitating submission to the sIRB and communicating when sites receive sIRB approval.  </w:t>
      </w:r>
      <w:r w:rsidR="00094F6F" w:rsidRPr="00F614DC">
        <w:rPr>
          <w:rFonts w:asciiTheme="minorHAnsi" w:eastAsia="Times New Roman" w:hAnsiTheme="minorHAnsi" w:cstheme="minorHAnsi"/>
          <w:color w:val="000000"/>
        </w:rPr>
        <w:t xml:space="preserve"> </w:t>
      </w:r>
    </w:p>
    <w:p w14:paraId="320EC403" w14:textId="44D8D726" w:rsidR="00E651D0" w:rsidRDefault="00E651D0" w:rsidP="00E651D0">
      <w:pPr>
        <w:spacing w:after="0" w:line="240" w:lineRule="auto"/>
        <w:rPr>
          <w:rFonts w:cstheme="minorHAnsi"/>
        </w:rPr>
      </w:pPr>
    </w:p>
    <w:p w14:paraId="556B5647" w14:textId="77777777" w:rsidR="00E651D0" w:rsidRDefault="00E651D0" w:rsidP="00E651D0">
      <w:pPr>
        <w:spacing w:after="0" w:line="240" w:lineRule="auto"/>
        <w:rPr>
          <w:rFonts w:cstheme="minorHAnsi"/>
        </w:rPr>
      </w:pPr>
    </w:p>
    <w:p w14:paraId="4DC294E3" w14:textId="22639646" w:rsidR="00E651D0" w:rsidRDefault="00E651D0" w:rsidP="00E651D0">
      <w:pPr>
        <w:spacing w:after="0" w:line="240" w:lineRule="auto"/>
        <w:rPr>
          <w:rFonts w:cstheme="minorHAnsi"/>
        </w:rPr>
      </w:pPr>
      <w:r>
        <w:rPr>
          <w:rFonts w:cstheme="minorHAnsi"/>
        </w:rPr>
        <w:t xml:space="preserve">To date approximately </w:t>
      </w:r>
      <w:r w:rsidR="00B229C6" w:rsidRPr="001C1020">
        <w:rPr>
          <w:rFonts w:cstheme="minorHAnsi"/>
          <w:highlight w:val="darkGray"/>
        </w:rPr>
        <w:t>#</w:t>
      </w:r>
      <w:r w:rsidR="00B229C6">
        <w:rPr>
          <w:rFonts w:cstheme="minorHAnsi"/>
        </w:rPr>
        <w:t xml:space="preserve"> </w:t>
      </w:r>
      <w:r w:rsidRPr="00E651D0">
        <w:rPr>
          <w:rFonts w:cstheme="minorHAnsi"/>
        </w:rPr>
        <w:t xml:space="preserve">of the </w:t>
      </w:r>
      <w:r w:rsidR="00B229C6" w:rsidRPr="001C1020">
        <w:rPr>
          <w:rFonts w:cstheme="minorHAnsi"/>
          <w:highlight w:val="darkGray"/>
        </w:rPr>
        <w:t>#</w:t>
      </w:r>
      <w:r w:rsidR="00B229C6">
        <w:rPr>
          <w:rFonts w:cstheme="minorHAnsi"/>
        </w:rPr>
        <w:t xml:space="preserve"> </w:t>
      </w:r>
      <w:r w:rsidRPr="00E651D0">
        <w:rPr>
          <w:rFonts w:cstheme="minorHAnsi"/>
        </w:rPr>
        <w:t>planned particip</w:t>
      </w:r>
      <w:r>
        <w:rPr>
          <w:rFonts w:cstheme="minorHAnsi"/>
        </w:rPr>
        <w:t xml:space="preserve">ating sites already have signed </w:t>
      </w:r>
      <w:r w:rsidR="0006606D">
        <w:rPr>
          <w:rFonts w:cstheme="minorHAnsi"/>
        </w:rPr>
        <w:t>onto the SMART IRB Agreement and have access to IREx</w:t>
      </w:r>
      <w:r>
        <w:rPr>
          <w:rFonts w:cstheme="minorHAnsi"/>
        </w:rPr>
        <w:t xml:space="preserve"> (</w:t>
      </w:r>
      <w:r w:rsidRPr="0006606D">
        <w:rPr>
          <w:rFonts w:cstheme="minorHAnsi"/>
          <w:highlight w:val="darkGray"/>
        </w:rPr>
        <w:t>see table below</w:t>
      </w:r>
      <w:r>
        <w:rPr>
          <w:rFonts w:cstheme="minorHAnsi"/>
        </w:rPr>
        <w:t>)</w:t>
      </w:r>
      <w:r w:rsidRPr="00E651D0">
        <w:rPr>
          <w:rFonts w:cstheme="minorHAnsi"/>
        </w:rPr>
        <w:t xml:space="preserve">. It is anticipated that all participating sites will be </w:t>
      </w:r>
      <w:r w:rsidR="0006606D">
        <w:rPr>
          <w:rFonts w:cstheme="minorHAnsi"/>
        </w:rPr>
        <w:t xml:space="preserve">fully onboarded </w:t>
      </w:r>
      <w:r w:rsidRPr="00E651D0">
        <w:rPr>
          <w:rFonts w:cstheme="minorHAnsi"/>
        </w:rPr>
        <w:t xml:space="preserve">prior to the planned award date to rely on </w:t>
      </w:r>
      <w:r w:rsidR="0006606D" w:rsidRPr="0006606D">
        <w:rPr>
          <w:rFonts w:cstheme="minorHAnsi"/>
          <w:highlight w:val="yellow"/>
        </w:rPr>
        <w:t>[</w:t>
      </w:r>
      <w:r w:rsidR="0006606D" w:rsidRPr="0006606D">
        <w:rPr>
          <w:rFonts w:cs="Times New Roman"/>
          <w:bCs/>
          <w:sz w:val="24"/>
          <w:szCs w:val="24"/>
          <w:highlight w:val="yellow"/>
        </w:rPr>
        <w:t>insert institution name here</w:t>
      </w:r>
      <w:r w:rsidR="0006606D" w:rsidRPr="0006606D">
        <w:rPr>
          <w:rFonts w:cstheme="minorHAnsi"/>
          <w:highlight w:val="yellow"/>
        </w:rPr>
        <w:t>]</w:t>
      </w:r>
      <w:r w:rsidR="0006606D" w:rsidRPr="00E651D0">
        <w:rPr>
          <w:rFonts w:cstheme="minorHAnsi"/>
        </w:rPr>
        <w:t xml:space="preserve"> </w:t>
      </w:r>
      <w:r w:rsidRPr="00E651D0">
        <w:rPr>
          <w:rFonts w:cstheme="minorHAnsi"/>
        </w:rPr>
        <w:t>as the Reviewing IRB.</w:t>
      </w:r>
    </w:p>
    <w:p w14:paraId="36AA20F3" w14:textId="77777777" w:rsidR="00E651D0" w:rsidRDefault="00E651D0" w:rsidP="00F614DC">
      <w:pPr>
        <w:spacing w:after="0" w:line="240" w:lineRule="auto"/>
        <w:contextualSpacing/>
        <w:rPr>
          <w:rFonts w:cs="Times New Roman"/>
        </w:rPr>
      </w:pPr>
    </w:p>
    <w:p w14:paraId="6D01438A" w14:textId="4D849A6E" w:rsidR="00CD48F8" w:rsidRPr="00EC7707" w:rsidRDefault="0006606D" w:rsidP="00F614DC">
      <w:pPr>
        <w:spacing w:after="0" w:line="240" w:lineRule="auto"/>
        <w:contextualSpacing/>
        <w:rPr>
          <w:rFonts w:cs="Times New Roman"/>
        </w:rPr>
      </w:pPr>
      <w:r>
        <w:rPr>
          <w:rFonts w:cs="Times New Roman"/>
        </w:rPr>
        <w:t xml:space="preserve">Each site PI has verified that their HRPP is agrees </w:t>
      </w:r>
      <w:commentRangeStart w:id="0"/>
      <w:r w:rsidR="00CD48F8" w:rsidRPr="00EC7707">
        <w:rPr>
          <w:rFonts w:cs="Times New Roman"/>
        </w:rPr>
        <w:t>that IRB review, regulatory oversight, and roles and responsibilities of the parties will be governed by the SMART IRB Agreement</w:t>
      </w:r>
      <w:r w:rsidR="008318C6">
        <w:rPr>
          <w:rFonts w:cs="Times New Roman"/>
        </w:rPr>
        <w:t xml:space="preserve"> </w:t>
      </w:r>
      <w:r w:rsidR="00CD48F8" w:rsidRPr="00EC7707">
        <w:rPr>
          <w:rFonts w:cs="Times New Roman"/>
        </w:rPr>
        <w:t xml:space="preserve">and </w:t>
      </w:r>
      <w:r w:rsidR="0056733D">
        <w:rPr>
          <w:rFonts w:cs="Times New Roman"/>
        </w:rPr>
        <w:t xml:space="preserve">the </w:t>
      </w:r>
      <w:r w:rsidRPr="0006606D">
        <w:rPr>
          <w:rFonts w:cs="Times New Roman"/>
          <w:highlight w:val="yellow"/>
        </w:rPr>
        <w:t>[insert SMART IRB or sIRB Name]</w:t>
      </w:r>
      <w:r w:rsidR="0056733D">
        <w:rPr>
          <w:rFonts w:cs="Times New Roman"/>
        </w:rPr>
        <w:t xml:space="preserve"> Policies and Procedures (P&amp;Ps)</w:t>
      </w:r>
      <w:r w:rsidR="00CD48F8" w:rsidRPr="00EC7707">
        <w:rPr>
          <w:rFonts w:cs="Times New Roman"/>
        </w:rPr>
        <w:t xml:space="preserve"> throughout the life of the project.  </w:t>
      </w:r>
      <w:commentRangeEnd w:id="0"/>
      <w:r w:rsidR="00E651D0">
        <w:rPr>
          <w:rStyle w:val="CommentReference"/>
        </w:rPr>
        <w:commentReference w:id="0"/>
      </w:r>
    </w:p>
    <w:p w14:paraId="703DFBCD" w14:textId="77777777" w:rsidR="00F614DC" w:rsidRDefault="00F614DC" w:rsidP="00F614DC">
      <w:pPr>
        <w:spacing w:after="0" w:line="240" w:lineRule="auto"/>
        <w:contextualSpacing/>
        <w:rPr>
          <w:rFonts w:cs="Times New Roman"/>
        </w:rPr>
      </w:pPr>
    </w:p>
    <w:p w14:paraId="6381211A" w14:textId="12CB14A2" w:rsidR="00CD48F8" w:rsidRPr="00EC7707" w:rsidRDefault="00CD48F8" w:rsidP="00F614DC">
      <w:pPr>
        <w:spacing w:after="0" w:line="240" w:lineRule="auto"/>
        <w:contextualSpacing/>
        <w:rPr>
          <w:rFonts w:cs="Times New Roman"/>
        </w:rPr>
      </w:pPr>
      <w:r w:rsidRPr="00EC7707">
        <w:rPr>
          <w:rFonts w:cs="Times New Roman"/>
        </w:rPr>
        <w:t xml:space="preserve">In joining SMART IRB, each site has designated a Point of Contact (POC) to provide the Reviewing IRB with knowledge about </w:t>
      </w:r>
      <w:r w:rsidRPr="00EC7707">
        <w:rPr>
          <w:rFonts w:cs="Times New Roman"/>
        </w:rPr>
        <w:lastRenderedPageBreak/>
        <w:t xml:space="preserve">local </w:t>
      </w:r>
      <w:r w:rsidR="002B60C3">
        <w:rPr>
          <w:rFonts w:cs="Times New Roman"/>
        </w:rPr>
        <w:t>considerations</w:t>
      </w:r>
      <w:r w:rsidR="002B60C3" w:rsidRPr="00EC7707">
        <w:rPr>
          <w:rFonts w:cs="Times New Roman"/>
        </w:rPr>
        <w:t xml:space="preserve"> </w:t>
      </w:r>
      <w:r w:rsidRPr="00EC7707">
        <w:rPr>
          <w:rFonts w:cs="Times New Roman"/>
        </w:rPr>
        <w:t>and facilitate coordination among the sites. In accordance with the SMART IRB Agreement and SOPs:</w:t>
      </w:r>
    </w:p>
    <w:p w14:paraId="6BDFC19A" w14:textId="4129F188" w:rsidR="00CD48F8" w:rsidRPr="00EC7707" w:rsidRDefault="00CD48F8" w:rsidP="00F614DC">
      <w:pPr>
        <w:pStyle w:val="ListParagraph"/>
        <w:numPr>
          <w:ilvl w:val="0"/>
          <w:numId w:val="5"/>
        </w:numPr>
        <w:spacing w:after="0" w:line="240" w:lineRule="auto"/>
        <w:rPr>
          <w:rFonts w:asciiTheme="minorHAnsi" w:hAnsiTheme="minorHAnsi"/>
        </w:rPr>
      </w:pPr>
      <w:r w:rsidRPr="00EC7707">
        <w:rPr>
          <w:rFonts w:asciiTheme="minorHAnsi" w:hAnsiTheme="minorHAnsi"/>
        </w:rPr>
        <w:t>[</w:t>
      </w:r>
      <w:r w:rsidRPr="00EC7707">
        <w:rPr>
          <w:rFonts w:asciiTheme="minorHAnsi" w:hAnsiTheme="minorHAnsi"/>
          <w:shd w:val="clear" w:color="auto" w:fill="BFBFBF" w:themeFill="background1" w:themeFillShade="BF"/>
        </w:rPr>
        <w:t>Name</w:t>
      </w:r>
      <w:r w:rsidRPr="00EC7707">
        <w:rPr>
          <w:rFonts w:asciiTheme="minorHAnsi" w:hAnsiTheme="minorHAnsi"/>
        </w:rPr>
        <w:t>] will serve as the Overall PI, and</w:t>
      </w:r>
    </w:p>
    <w:p w14:paraId="02132503" w14:textId="12820107" w:rsidR="00CD48F8" w:rsidRPr="00EC7707" w:rsidRDefault="00CD48F8" w:rsidP="00F614DC">
      <w:pPr>
        <w:pStyle w:val="ListParagraph"/>
        <w:numPr>
          <w:ilvl w:val="0"/>
          <w:numId w:val="5"/>
        </w:numPr>
        <w:spacing w:after="0" w:line="240" w:lineRule="auto"/>
        <w:rPr>
          <w:rFonts w:asciiTheme="minorHAnsi" w:hAnsiTheme="minorHAnsi"/>
        </w:rPr>
      </w:pPr>
      <w:r w:rsidRPr="00EC7707">
        <w:rPr>
          <w:rFonts w:asciiTheme="minorHAnsi" w:hAnsiTheme="minorHAnsi"/>
        </w:rPr>
        <w:t>[</w:t>
      </w:r>
      <w:r w:rsidRPr="00EC7707">
        <w:rPr>
          <w:rFonts w:asciiTheme="minorHAnsi" w:hAnsiTheme="minorHAnsi"/>
          <w:shd w:val="clear" w:color="auto" w:fill="BFBFBF" w:themeFill="background1" w:themeFillShade="BF"/>
        </w:rPr>
        <w:t>Name</w:t>
      </w:r>
      <w:r w:rsidRPr="00EC7707">
        <w:rPr>
          <w:rFonts w:asciiTheme="minorHAnsi" w:hAnsiTheme="minorHAnsi"/>
        </w:rPr>
        <w:t>], [</w:t>
      </w:r>
      <w:r w:rsidRPr="00EC7707">
        <w:rPr>
          <w:rFonts w:asciiTheme="minorHAnsi" w:hAnsiTheme="minorHAnsi"/>
          <w:shd w:val="clear" w:color="auto" w:fill="BFBFBF" w:themeFill="background1" w:themeFillShade="BF"/>
        </w:rPr>
        <w:t>role</w:t>
      </w:r>
      <w:r w:rsidRPr="00EC7707">
        <w:rPr>
          <w:rFonts w:asciiTheme="minorHAnsi" w:hAnsiTheme="minorHAnsi"/>
        </w:rPr>
        <w:t>] at [</w:t>
      </w:r>
      <w:r w:rsidRPr="00EC7707">
        <w:rPr>
          <w:rFonts w:asciiTheme="minorHAnsi" w:hAnsiTheme="minorHAnsi"/>
          <w:shd w:val="clear" w:color="auto" w:fill="BFBFBF" w:themeFill="background1" w:themeFillShade="BF"/>
        </w:rPr>
        <w:t>lead site</w:t>
      </w:r>
      <w:r w:rsidRPr="00EC7707">
        <w:rPr>
          <w:rFonts w:asciiTheme="minorHAnsi" w:hAnsiTheme="minorHAnsi"/>
        </w:rPr>
        <w:t>], will serve as the primary contact on the Lead Study Team, and will distribute the results of IRB reviews and manage ongoing communications across site study teams.</w:t>
      </w:r>
    </w:p>
    <w:p w14:paraId="42FD0F4C" w14:textId="2CBB94A0" w:rsidR="00CD48F8" w:rsidRDefault="00CD48F8" w:rsidP="00F614DC">
      <w:pPr>
        <w:pStyle w:val="ListParagraph"/>
        <w:numPr>
          <w:ilvl w:val="0"/>
          <w:numId w:val="5"/>
        </w:numPr>
        <w:spacing w:after="0" w:line="240" w:lineRule="auto"/>
        <w:rPr>
          <w:rFonts w:asciiTheme="minorHAnsi" w:hAnsiTheme="minorHAnsi"/>
        </w:rPr>
      </w:pPr>
      <w:r w:rsidRPr="00EC7707">
        <w:rPr>
          <w:rFonts w:asciiTheme="minorHAnsi" w:hAnsiTheme="minorHAnsi"/>
        </w:rPr>
        <w:t xml:space="preserve">The POC for the Reviewing IRB will ensure appropriate communication with Relying Institution POCs. </w:t>
      </w:r>
    </w:p>
    <w:p w14:paraId="35B1148D" w14:textId="5111E5EE" w:rsidR="00CD48F8" w:rsidRPr="00CD48F8" w:rsidRDefault="00CD48F8" w:rsidP="00F614DC">
      <w:pPr>
        <w:pStyle w:val="ListParagraph"/>
        <w:spacing w:after="0" w:line="240" w:lineRule="auto"/>
        <w:ind w:left="1080"/>
        <w:rPr>
          <w:rFonts w:asciiTheme="minorHAnsi" w:hAnsiTheme="minorHAnsi"/>
        </w:rPr>
      </w:pPr>
    </w:p>
    <w:p w14:paraId="277C3772" w14:textId="03D2420D" w:rsidR="00CD48F8" w:rsidRPr="00BF556A" w:rsidRDefault="00CD48F8" w:rsidP="00F614DC">
      <w:pPr>
        <w:spacing w:after="0" w:line="240" w:lineRule="auto"/>
        <w:contextualSpacing/>
        <w:rPr>
          <w:rFonts w:cs="Times New Roman"/>
          <w:b/>
          <w:i/>
          <w:caps/>
          <w:sz w:val="24"/>
          <w:szCs w:val="24"/>
        </w:rPr>
      </w:pPr>
      <w:r w:rsidRPr="00BF556A">
        <w:rPr>
          <w:rFonts w:cs="Times New Roman"/>
          <w:b/>
          <w:i/>
          <w:caps/>
          <w:sz w:val="24"/>
          <w:szCs w:val="24"/>
        </w:rPr>
        <w:t xml:space="preserve">Study Team Communication Plan </w:t>
      </w:r>
    </w:p>
    <w:p w14:paraId="6F42CE52" w14:textId="5574250F" w:rsidR="00F614DC" w:rsidRPr="00BD51AF" w:rsidRDefault="00CD48F8" w:rsidP="00F614DC">
      <w:pPr>
        <w:spacing w:after="0" w:line="240" w:lineRule="auto"/>
        <w:contextualSpacing/>
        <w:rPr>
          <w:rFonts w:cs="Times New Roman"/>
        </w:rPr>
      </w:pPr>
      <w:r w:rsidRPr="00EC7707">
        <w:rPr>
          <w:rFonts w:cs="Times New Roman"/>
        </w:rPr>
        <w:t>Study initiation conference calls will</w:t>
      </w:r>
      <w:r w:rsidR="000E63FF">
        <w:rPr>
          <w:rFonts w:cs="Times New Roman"/>
        </w:rPr>
        <w:t xml:space="preserve"> be scheduled by the</w:t>
      </w:r>
      <w:r w:rsidR="00BD51AF">
        <w:rPr>
          <w:rFonts w:cs="Times New Roman"/>
        </w:rPr>
        <w:t xml:space="preserve"> </w:t>
      </w:r>
      <w:r w:rsidR="00F614DC" w:rsidRPr="005942A0">
        <w:rPr>
          <w:rFonts w:cs="Times New Roman"/>
        </w:rPr>
        <w:t>Lead Study Team/Coordinating Center</w:t>
      </w:r>
      <w:r w:rsidR="00F614DC" w:rsidRPr="00BD51AF">
        <w:rPr>
          <w:rFonts w:cs="Times New Roman"/>
        </w:rPr>
        <w:t xml:space="preserve"> </w:t>
      </w:r>
      <w:r w:rsidR="000E63FF" w:rsidRPr="00BD51AF">
        <w:rPr>
          <w:rFonts w:cs="Times New Roman"/>
        </w:rPr>
        <w:t>and</w:t>
      </w:r>
      <w:r w:rsidRPr="00BD51AF">
        <w:rPr>
          <w:rFonts w:cs="Times New Roman"/>
        </w:rPr>
        <w:t xml:space="preserve"> include a presentation by the </w:t>
      </w:r>
      <w:r w:rsidR="000E63FF" w:rsidRPr="00BD51AF">
        <w:rPr>
          <w:rFonts w:cs="Times New Roman"/>
        </w:rPr>
        <w:t>Single IRB</w:t>
      </w:r>
      <w:r w:rsidR="0056733D" w:rsidRPr="00BD51AF">
        <w:rPr>
          <w:rFonts w:cs="Times New Roman"/>
        </w:rPr>
        <w:t xml:space="preserve"> and IREx</w:t>
      </w:r>
      <w:r w:rsidR="000E63FF" w:rsidRPr="00BD51AF">
        <w:rPr>
          <w:rFonts w:cs="Times New Roman"/>
        </w:rPr>
        <w:t xml:space="preserve"> Team</w:t>
      </w:r>
      <w:r w:rsidR="0056733D" w:rsidRPr="00BD51AF">
        <w:rPr>
          <w:rFonts w:cs="Times New Roman"/>
        </w:rPr>
        <w:t>s</w:t>
      </w:r>
      <w:r w:rsidR="000E63FF" w:rsidRPr="00BD51AF">
        <w:rPr>
          <w:rFonts w:cs="Times New Roman"/>
        </w:rPr>
        <w:t xml:space="preserve"> </w:t>
      </w:r>
      <w:r w:rsidRPr="00BD51AF">
        <w:rPr>
          <w:rFonts w:cs="Times New Roman"/>
        </w:rPr>
        <w:t xml:space="preserve">to inform all sites about the </w:t>
      </w:r>
      <w:r w:rsidR="000E63FF" w:rsidRPr="00BD51AF">
        <w:rPr>
          <w:rFonts w:cs="Times New Roman"/>
        </w:rPr>
        <w:t>single IRB proces</w:t>
      </w:r>
      <w:r w:rsidR="000E63FF">
        <w:rPr>
          <w:rFonts w:cs="Times New Roman"/>
        </w:rPr>
        <w:t xml:space="preserve">s, required agreements and reliance arrangements, use of IREx, </w:t>
      </w:r>
      <w:r w:rsidRPr="00EC7707">
        <w:rPr>
          <w:rFonts w:cs="Times New Roman"/>
        </w:rPr>
        <w:t xml:space="preserve">as well as the review processes and reporting requirements of the Reviewing IRB. In addition </w:t>
      </w:r>
      <w:bookmarkStart w:id="1" w:name="_GoBack"/>
      <w:r w:rsidRPr="00EC7707">
        <w:rPr>
          <w:rFonts w:cs="Times New Roman"/>
        </w:rPr>
        <w:t>[</w:t>
      </w:r>
      <w:r w:rsidRPr="00EC7707">
        <w:rPr>
          <w:rFonts w:cs="Times New Roman"/>
          <w:shd w:val="clear" w:color="auto" w:fill="BFBFBF" w:themeFill="background1" w:themeFillShade="BF"/>
        </w:rPr>
        <w:t>name or role of person (e.g., coordinating center)</w:t>
      </w:r>
      <w:r w:rsidRPr="00EC7707">
        <w:rPr>
          <w:rFonts w:cs="Times New Roman"/>
        </w:rPr>
        <w:t>]</w:t>
      </w:r>
      <w:r w:rsidRPr="00EC7707" w:rsidDel="00471F52">
        <w:rPr>
          <w:rFonts w:cs="Times New Roman"/>
        </w:rPr>
        <w:t xml:space="preserve"> </w:t>
      </w:r>
      <w:bookmarkEnd w:id="1"/>
      <w:r w:rsidRPr="00EC7707">
        <w:rPr>
          <w:rFonts w:cs="Times New Roman"/>
        </w:rPr>
        <w:t>will provide each site with a summary of the Reviewing IRB’s reporting requirements to be distributed to their study team</w:t>
      </w:r>
      <w:r w:rsidRPr="00BD51AF">
        <w:rPr>
          <w:rFonts w:cs="Times New Roman"/>
        </w:rPr>
        <w:t xml:space="preserve">s. </w:t>
      </w:r>
    </w:p>
    <w:p w14:paraId="22289898" w14:textId="07309EA5" w:rsidR="00CD48F8" w:rsidRPr="00BD51AF" w:rsidRDefault="00CD48F8" w:rsidP="00F614DC">
      <w:pPr>
        <w:spacing w:after="0" w:line="240" w:lineRule="auto"/>
        <w:contextualSpacing/>
        <w:rPr>
          <w:rFonts w:cs="Times New Roman"/>
        </w:rPr>
      </w:pPr>
      <w:r w:rsidRPr="00BD51AF">
        <w:rPr>
          <w:rFonts w:cs="Times New Roman"/>
        </w:rPr>
        <w:t xml:space="preserve">  </w:t>
      </w:r>
    </w:p>
    <w:p w14:paraId="351FB8AD" w14:textId="211C5B6D" w:rsidR="000E63FF" w:rsidRDefault="00CD48F8" w:rsidP="00F614DC">
      <w:pPr>
        <w:spacing w:after="0" w:line="240" w:lineRule="auto"/>
        <w:contextualSpacing/>
        <w:rPr>
          <w:rFonts w:cs="Times New Roman"/>
        </w:rPr>
      </w:pPr>
      <w:r w:rsidRPr="00BD51AF">
        <w:rPr>
          <w:rFonts w:cs="Times New Roman"/>
        </w:rPr>
        <w:t xml:space="preserve">The </w:t>
      </w:r>
      <w:r w:rsidRPr="005942A0">
        <w:rPr>
          <w:rFonts w:cs="Times New Roman"/>
        </w:rPr>
        <w:t>Lead Study Team</w:t>
      </w:r>
      <w:r w:rsidR="000828A5" w:rsidRPr="005942A0">
        <w:rPr>
          <w:rFonts w:cs="Times New Roman"/>
        </w:rPr>
        <w:t>/</w:t>
      </w:r>
      <w:r w:rsidR="00F614DC" w:rsidRPr="005942A0">
        <w:rPr>
          <w:rFonts w:cs="Times New Roman"/>
        </w:rPr>
        <w:t>C</w:t>
      </w:r>
      <w:r w:rsidR="000E63FF" w:rsidRPr="005942A0">
        <w:rPr>
          <w:rFonts w:cs="Times New Roman"/>
        </w:rPr>
        <w:t xml:space="preserve">oordinating </w:t>
      </w:r>
      <w:r w:rsidR="00F614DC" w:rsidRPr="005942A0">
        <w:rPr>
          <w:rFonts w:cs="Times New Roman"/>
        </w:rPr>
        <w:t>C</w:t>
      </w:r>
      <w:r w:rsidR="000E63FF" w:rsidRPr="005942A0">
        <w:rPr>
          <w:rFonts w:cs="Times New Roman"/>
        </w:rPr>
        <w:t>enter</w:t>
      </w:r>
      <w:r w:rsidRPr="00BD51AF">
        <w:rPr>
          <w:rFonts w:cs="Times New Roman"/>
        </w:rPr>
        <w:t xml:space="preserve"> will</w:t>
      </w:r>
      <w:r w:rsidRPr="00EC7707">
        <w:rPr>
          <w:rFonts w:cs="Times New Roman"/>
        </w:rPr>
        <w:t xml:space="preserve"> be responsible for ensuring ongoing communication with all participating study teams via teleconferences</w:t>
      </w:r>
      <w:r w:rsidR="00F614DC">
        <w:rPr>
          <w:rFonts w:cs="Times New Roman"/>
        </w:rPr>
        <w:t>, IREx-facilitated reminders,</w:t>
      </w:r>
      <w:r w:rsidRPr="00EC7707">
        <w:rPr>
          <w:rFonts w:cs="Times New Roman"/>
        </w:rPr>
        <w:t xml:space="preserve"> and regular emails throughout the study</w:t>
      </w:r>
      <w:r w:rsidR="00F614DC">
        <w:rPr>
          <w:rFonts w:cs="Times New Roman"/>
        </w:rPr>
        <w:t>. The IREx Status Summary (see image) will be u</w:t>
      </w:r>
      <w:r w:rsidR="000828A5">
        <w:rPr>
          <w:rFonts w:cs="Times New Roman"/>
        </w:rPr>
        <w:t>s</w:t>
      </w:r>
      <w:r w:rsidR="00F614DC">
        <w:rPr>
          <w:rFonts w:cs="Times New Roman"/>
        </w:rPr>
        <w:t xml:space="preserve">ed to track </w:t>
      </w:r>
      <w:r w:rsidR="000E63FF">
        <w:rPr>
          <w:rFonts w:cs="Times New Roman"/>
        </w:rPr>
        <w:t>each site’</w:t>
      </w:r>
      <w:r w:rsidR="00F614DC">
        <w:rPr>
          <w:rFonts w:cs="Times New Roman"/>
        </w:rPr>
        <w:t>s progress towards reliance</w:t>
      </w:r>
      <w:r w:rsidRPr="00EC7707">
        <w:rPr>
          <w:rFonts w:cs="Times New Roman"/>
        </w:rPr>
        <w:t>.</w:t>
      </w:r>
    </w:p>
    <w:p w14:paraId="229A1506" w14:textId="5DAFBC86" w:rsidR="000E63FF" w:rsidRDefault="000E63FF" w:rsidP="00F614DC">
      <w:pPr>
        <w:spacing w:after="0" w:line="240" w:lineRule="auto"/>
        <w:contextualSpacing/>
        <w:rPr>
          <w:rFonts w:cs="Times New Roman"/>
        </w:rPr>
      </w:pPr>
    </w:p>
    <w:p w14:paraId="28D98E00" w14:textId="57EC282F" w:rsidR="00E651D0" w:rsidRPr="00E651D0" w:rsidRDefault="00BD51AF" w:rsidP="00E651D0">
      <w:pPr>
        <w:spacing w:after="0" w:line="240" w:lineRule="auto"/>
        <w:contextualSpacing/>
        <w:rPr>
          <w:rFonts w:cs="Times New Roman"/>
        </w:rPr>
      </w:pPr>
      <w:r>
        <w:rPr>
          <w:noProof/>
        </w:rPr>
        <w:drawing>
          <wp:anchor distT="0" distB="0" distL="114300" distR="114300" simplePos="0" relativeHeight="251659264" behindDoc="0" locked="0" layoutInCell="1" allowOverlap="1" wp14:anchorId="050AA882" wp14:editId="50E0F182">
            <wp:simplePos x="0" y="0"/>
            <wp:positionH relativeFrom="margin">
              <wp:align>left</wp:align>
            </wp:positionH>
            <wp:positionV relativeFrom="paragraph">
              <wp:posOffset>93980</wp:posOffset>
            </wp:positionV>
            <wp:extent cx="3899535" cy="3479800"/>
            <wp:effectExtent l="0" t="0" r="571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9535" cy="3479800"/>
                    </a:xfrm>
                    <a:prstGeom prst="rect">
                      <a:avLst/>
                    </a:prstGeom>
                  </pic:spPr>
                </pic:pic>
              </a:graphicData>
            </a:graphic>
          </wp:anchor>
        </w:drawing>
      </w:r>
      <w:r w:rsidR="0006606D" w:rsidRPr="0006606D">
        <w:rPr>
          <w:noProof/>
        </w:rPr>
        <w:t xml:space="preserve"> </w:t>
      </w:r>
    </w:p>
    <w:p w14:paraId="6BCFA3B0" w14:textId="77777777" w:rsidR="00971D37" w:rsidRDefault="00971D37" w:rsidP="000828A5">
      <w:pPr>
        <w:spacing w:after="0" w:line="240" w:lineRule="auto"/>
        <w:contextualSpacing/>
      </w:pPr>
    </w:p>
    <w:p w14:paraId="27CD6784" w14:textId="1F65EE6A" w:rsidR="00D76426" w:rsidRDefault="00D76426" w:rsidP="00971D37">
      <w:pPr>
        <w:pStyle w:val="ListParagraph"/>
        <w:numPr>
          <w:ilvl w:val="0"/>
          <w:numId w:val="8"/>
        </w:numPr>
        <w:spacing w:after="0" w:line="240" w:lineRule="auto"/>
        <w:ind w:left="7290" w:right="-360" w:hanging="540"/>
      </w:pPr>
      <w:r>
        <w:t>Track site’s agreement status</w:t>
      </w:r>
    </w:p>
    <w:p w14:paraId="70CAC377" w14:textId="64D50D22" w:rsidR="00D76426" w:rsidRDefault="00D76426" w:rsidP="00971D37">
      <w:pPr>
        <w:pStyle w:val="ListParagraph"/>
        <w:numPr>
          <w:ilvl w:val="0"/>
          <w:numId w:val="8"/>
        </w:numPr>
        <w:spacing w:after="0" w:line="240" w:lineRule="auto"/>
        <w:ind w:left="7290" w:right="-360" w:hanging="540"/>
      </w:pPr>
      <w:r>
        <w:t>Track relying site HRPP’s cede decisions</w:t>
      </w:r>
    </w:p>
    <w:p w14:paraId="48DCAF2E" w14:textId="1E496949" w:rsidR="00D76426" w:rsidRDefault="00D76426" w:rsidP="00971D37">
      <w:pPr>
        <w:pStyle w:val="ListParagraph"/>
        <w:numPr>
          <w:ilvl w:val="0"/>
          <w:numId w:val="8"/>
        </w:numPr>
        <w:spacing w:after="0" w:line="240" w:lineRule="auto"/>
        <w:ind w:left="7290" w:hanging="540"/>
      </w:pPr>
      <w:r>
        <w:t>T</w:t>
      </w:r>
      <w:r w:rsidR="002B60C3">
        <w:t>rack relying site</w:t>
      </w:r>
      <w:r w:rsidR="0006606D">
        <w:t>’s</w:t>
      </w:r>
      <w:r w:rsidR="002B60C3">
        <w:t xml:space="preserve"> local</w:t>
      </w:r>
      <w:r>
        <w:t xml:space="preserve"> considerations complet</w:t>
      </w:r>
      <w:r w:rsidR="0006606D">
        <w:t>ion</w:t>
      </w:r>
    </w:p>
    <w:p w14:paraId="55F37B3D" w14:textId="0158E792" w:rsidR="00D76426" w:rsidRPr="00D76426" w:rsidRDefault="00D76426" w:rsidP="00971D37">
      <w:pPr>
        <w:pStyle w:val="ListParagraph"/>
        <w:numPr>
          <w:ilvl w:val="0"/>
          <w:numId w:val="8"/>
        </w:numPr>
        <w:spacing w:after="0" w:line="240" w:lineRule="auto"/>
        <w:ind w:left="7290" w:right="-360" w:hanging="540"/>
      </w:pPr>
      <w:r>
        <w:t>Track site’s approval status</w:t>
      </w:r>
    </w:p>
    <w:p w14:paraId="09E3D473" w14:textId="77777777" w:rsidR="00D76426" w:rsidRDefault="00D76426" w:rsidP="00F614DC">
      <w:pPr>
        <w:spacing w:after="0" w:line="240" w:lineRule="auto"/>
        <w:contextualSpacing/>
        <w:rPr>
          <w:rFonts w:cs="Times New Roman"/>
        </w:rPr>
      </w:pPr>
    </w:p>
    <w:p w14:paraId="0C5C9931" w14:textId="77777777" w:rsidR="00D76426" w:rsidRDefault="00D76426" w:rsidP="00F614DC">
      <w:pPr>
        <w:spacing w:after="0" w:line="240" w:lineRule="auto"/>
        <w:contextualSpacing/>
        <w:rPr>
          <w:rFonts w:cs="Times New Roman"/>
        </w:rPr>
      </w:pPr>
    </w:p>
    <w:p w14:paraId="36427822" w14:textId="77777777" w:rsidR="00F614DC" w:rsidRDefault="00F614DC" w:rsidP="00F614DC">
      <w:pPr>
        <w:spacing w:after="0" w:line="240" w:lineRule="auto"/>
        <w:contextualSpacing/>
        <w:rPr>
          <w:rFonts w:cs="Times New Roman"/>
        </w:rPr>
      </w:pPr>
    </w:p>
    <w:p w14:paraId="4E5EB635" w14:textId="77777777" w:rsidR="00F614DC" w:rsidRDefault="00F614DC" w:rsidP="00F614DC">
      <w:pPr>
        <w:spacing w:after="0" w:line="240" w:lineRule="auto"/>
        <w:contextualSpacing/>
        <w:rPr>
          <w:rFonts w:cs="Times New Roman"/>
        </w:rPr>
      </w:pPr>
    </w:p>
    <w:p w14:paraId="45EE35BA" w14:textId="609DE356" w:rsidR="00F614DC" w:rsidRDefault="00F614DC" w:rsidP="00F614DC">
      <w:pPr>
        <w:spacing w:after="0" w:line="240" w:lineRule="auto"/>
        <w:contextualSpacing/>
        <w:rPr>
          <w:rFonts w:cs="Times New Roman"/>
        </w:rPr>
      </w:pPr>
    </w:p>
    <w:p w14:paraId="242755A7" w14:textId="08E32C28" w:rsidR="00BD51AF" w:rsidRDefault="00BD51AF" w:rsidP="00F614DC">
      <w:pPr>
        <w:spacing w:after="0" w:line="240" w:lineRule="auto"/>
        <w:contextualSpacing/>
        <w:rPr>
          <w:rFonts w:cs="Times New Roman"/>
        </w:rPr>
      </w:pPr>
    </w:p>
    <w:p w14:paraId="0E21AE89" w14:textId="3D31737E" w:rsidR="00BD51AF" w:rsidRDefault="00BD51AF" w:rsidP="00F614DC">
      <w:pPr>
        <w:spacing w:after="0" w:line="240" w:lineRule="auto"/>
        <w:contextualSpacing/>
        <w:rPr>
          <w:rFonts w:cs="Times New Roman"/>
        </w:rPr>
      </w:pPr>
    </w:p>
    <w:p w14:paraId="2D288BAE" w14:textId="07836310" w:rsidR="00BD51AF" w:rsidRDefault="00BD51AF" w:rsidP="00F614DC">
      <w:pPr>
        <w:spacing w:after="0" w:line="240" w:lineRule="auto"/>
        <w:contextualSpacing/>
        <w:rPr>
          <w:rFonts w:cs="Times New Roman"/>
        </w:rPr>
      </w:pPr>
    </w:p>
    <w:p w14:paraId="567C0FEA" w14:textId="707B5933" w:rsidR="00BD51AF" w:rsidRDefault="00BD51AF" w:rsidP="00F614DC">
      <w:pPr>
        <w:spacing w:after="0" w:line="240" w:lineRule="auto"/>
        <w:contextualSpacing/>
        <w:rPr>
          <w:rFonts w:cs="Times New Roman"/>
        </w:rPr>
      </w:pPr>
    </w:p>
    <w:p w14:paraId="4719E786" w14:textId="47D3CC08" w:rsidR="00BD51AF" w:rsidRDefault="00BD51AF" w:rsidP="00F614DC">
      <w:pPr>
        <w:spacing w:after="0" w:line="240" w:lineRule="auto"/>
        <w:contextualSpacing/>
        <w:rPr>
          <w:rFonts w:cs="Times New Roman"/>
        </w:rPr>
      </w:pPr>
    </w:p>
    <w:p w14:paraId="23472C45" w14:textId="77777777" w:rsidR="00BD51AF" w:rsidRDefault="00BD51AF" w:rsidP="00F614DC">
      <w:pPr>
        <w:spacing w:after="0" w:line="240" w:lineRule="auto"/>
        <w:contextualSpacing/>
        <w:rPr>
          <w:rFonts w:cs="Times New Roman"/>
        </w:rPr>
      </w:pPr>
    </w:p>
    <w:p w14:paraId="4710517F" w14:textId="77777777" w:rsidR="00971D37" w:rsidRDefault="00971D37" w:rsidP="00F614DC">
      <w:pPr>
        <w:spacing w:after="0" w:line="240" w:lineRule="auto"/>
        <w:contextualSpacing/>
        <w:rPr>
          <w:rFonts w:cs="Times New Roman"/>
        </w:rPr>
      </w:pPr>
    </w:p>
    <w:p w14:paraId="7AA39975" w14:textId="77777777" w:rsidR="006A6B4F" w:rsidRDefault="006A6B4F" w:rsidP="00F614DC">
      <w:pPr>
        <w:spacing w:after="0" w:line="240" w:lineRule="auto"/>
        <w:contextualSpacing/>
        <w:rPr>
          <w:rFonts w:cs="Times New Roman"/>
        </w:rPr>
      </w:pPr>
    </w:p>
    <w:p w14:paraId="174621B7" w14:textId="2B782154" w:rsidR="0018180A" w:rsidRPr="00BF556A" w:rsidRDefault="00F614DC" w:rsidP="00F614DC">
      <w:pPr>
        <w:spacing w:after="0" w:line="240" w:lineRule="auto"/>
        <w:contextualSpacing/>
        <w:rPr>
          <w:rFonts w:cs="Times New Roman"/>
          <w:b/>
          <w:i/>
        </w:rPr>
      </w:pPr>
      <w:r w:rsidRPr="00BF556A">
        <w:rPr>
          <w:rFonts w:cs="Times New Roman"/>
          <w:b/>
          <w:i/>
        </w:rPr>
        <w:lastRenderedPageBreak/>
        <w:t>KEY POINTS OF COMMUNICATION</w:t>
      </w:r>
      <w:r w:rsidR="00CD48F8" w:rsidRPr="00BF556A">
        <w:rPr>
          <w:rFonts w:cs="Times New Roman"/>
          <w:b/>
          <w:i/>
        </w:rPr>
        <w:t>:</w:t>
      </w:r>
    </w:p>
    <w:p w14:paraId="16630BEA" w14:textId="19BD3EC7" w:rsidR="00D76426" w:rsidRDefault="00BD51AF" w:rsidP="00F614DC">
      <w:pPr>
        <w:pStyle w:val="ListParagraph"/>
        <w:numPr>
          <w:ilvl w:val="0"/>
          <w:numId w:val="6"/>
        </w:numPr>
        <w:spacing w:after="0" w:line="240" w:lineRule="auto"/>
        <w:rPr>
          <w:rFonts w:asciiTheme="minorHAnsi" w:hAnsiTheme="minorHAnsi"/>
        </w:rPr>
      </w:pPr>
      <w:r>
        <w:rPr>
          <w:rFonts w:asciiTheme="minorHAnsi" w:hAnsiTheme="minorHAnsi"/>
        </w:rPr>
        <w:t xml:space="preserve">The </w:t>
      </w:r>
      <w:r w:rsidR="00D76426">
        <w:rPr>
          <w:rFonts w:asciiTheme="minorHAnsi" w:hAnsiTheme="minorHAnsi"/>
        </w:rPr>
        <w:t xml:space="preserve">Single IRB </w:t>
      </w:r>
      <w:r w:rsidR="0056733D">
        <w:rPr>
          <w:rFonts w:asciiTheme="minorHAnsi" w:hAnsiTheme="minorHAnsi"/>
        </w:rPr>
        <w:t xml:space="preserve">and IREx </w:t>
      </w:r>
      <w:r w:rsidR="002B60C3">
        <w:rPr>
          <w:rFonts w:asciiTheme="minorHAnsi" w:hAnsiTheme="minorHAnsi"/>
        </w:rPr>
        <w:t>Team</w:t>
      </w:r>
      <w:r w:rsidR="0056733D">
        <w:rPr>
          <w:rFonts w:asciiTheme="minorHAnsi" w:hAnsiTheme="minorHAnsi"/>
        </w:rPr>
        <w:t>s</w:t>
      </w:r>
      <w:r w:rsidR="002B60C3">
        <w:rPr>
          <w:rFonts w:asciiTheme="minorHAnsi" w:hAnsiTheme="minorHAnsi"/>
        </w:rPr>
        <w:t xml:space="preserve"> </w:t>
      </w:r>
      <w:r w:rsidR="00D76426">
        <w:rPr>
          <w:rFonts w:asciiTheme="minorHAnsi" w:hAnsiTheme="minorHAnsi"/>
        </w:rPr>
        <w:t xml:space="preserve">will provide the following to the </w:t>
      </w:r>
      <w:r w:rsidR="00D76426" w:rsidRPr="005942A0">
        <w:rPr>
          <w:rFonts w:asciiTheme="minorHAnsi" w:hAnsiTheme="minorHAnsi"/>
        </w:rPr>
        <w:t>Lead Study Team/Coordinating Center</w:t>
      </w:r>
      <w:r w:rsidR="00D76426">
        <w:rPr>
          <w:rFonts w:asciiTheme="minorHAnsi" w:hAnsiTheme="minorHAnsi"/>
        </w:rPr>
        <w:t>:</w:t>
      </w:r>
    </w:p>
    <w:p w14:paraId="13B1542D" w14:textId="778B382D" w:rsidR="00D76426" w:rsidRDefault="00D76426" w:rsidP="00F614DC">
      <w:pPr>
        <w:pStyle w:val="ListParagraph"/>
        <w:numPr>
          <w:ilvl w:val="1"/>
          <w:numId w:val="6"/>
        </w:numPr>
        <w:spacing w:after="0" w:line="240" w:lineRule="auto"/>
        <w:rPr>
          <w:rFonts w:asciiTheme="minorHAnsi" w:hAnsiTheme="minorHAnsi"/>
        </w:rPr>
      </w:pPr>
      <w:r>
        <w:rPr>
          <w:rFonts w:asciiTheme="minorHAnsi" w:hAnsiTheme="minorHAnsi"/>
        </w:rPr>
        <w:t xml:space="preserve">An </w:t>
      </w:r>
      <w:r w:rsidRPr="00D76426">
        <w:rPr>
          <w:rFonts w:asciiTheme="minorHAnsi" w:hAnsiTheme="minorHAnsi"/>
          <w:b/>
        </w:rPr>
        <w:t>introductory training</w:t>
      </w:r>
      <w:r>
        <w:rPr>
          <w:rFonts w:asciiTheme="minorHAnsi" w:hAnsiTheme="minorHAnsi"/>
        </w:rPr>
        <w:t xml:space="preserve"> to the Single IRB review process, the responsibilities of the </w:t>
      </w:r>
      <w:r w:rsidRPr="005942A0">
        <w:rPr>
          <w:rFonts w:asciiTheme="minorHAnsi" w:hAnsiTheme="minorHAnsi"/>
        </w:rPr>
        <w:t>Lead Study Team/Coordinating Center</w:t>
      </w:r>
      <w:r w:rsidRPr="00BD51AF">
        <w:rPr>
          <w:rFonts w:asciiTheme="minorHAnsi" w:hAnsiTheme="minorHAnsi"/>
        </w:rPr>
        <w:t>,</w:t>
      </w:r>
      <w:r>
        <w:rPr>
          <w:rFonts w:asciiTheme="minorHAnsi" w:hAnsiTheme="minorHAnsi"/>
        </w:rPr>
        <w:t xml:space="preserve"> the requirements of using VUMC as the single IRB, and the system used to support the reliance process (IREx).</w:t>
      </w:r>
    </w:p>
    <w:p w14:paraId="689ACC2F" w14:textId="7AF7CDD2" w:rsidR="00D76426" w:rsidRDefault="00D76426" w:rsidP="00F614DC">
      <w:pPr>
        <w:pStyle w:val="ListParagraph"/>
        <w:numPr>
          <w:ilvl w:val="1"/>
          <w:numId w:val="6"/>
        </w:numPr>
        <w:spacing w:after="0" w:line="240" w:lineRule="auto"/>
        <w:rPr>
          <w:rFonts w:asciiTheme="minorHAnsi" w:hAnsiTheme="minorHAnsi"/>
        </w:rPr>
      </w:pPr>
      <w:r w:rsidRPr="00D76426">
        <w:rPr>
          <w:rFonts w:asciiTheme="minorHAnsi" w:hAnsiTheme="minorHAnsi"/>
          <w:b/>
        </w:rPr>
        <w:t>Site-specific reliance instructions</w:t>
      </w:r>
      <w:r>
        <w:rPr>
          <w:rFonts w:asciiTheme="minorHAnsi" w:hAnsiTheme="minorHAnsi"/>
        </w:rPr>
        <w:t xml:space="preserve"> detailing the status of each required agreement and the steps required of each site study team and their HRPP in IREx.</w:t>
      </w:r>
      <w:r w:rsidR="00BD51AF">
        <w:rPr>
          <w:rFonts w:asciiTheme="minorHAnsi" w:hAnsiTheme="minorHAnsi"/>
        </w:rPr>
        <w:t xml:space="preserve"> </w:t>
      </w:r>
      <w:hyperlink r:id="rId12" w:history="1">
        <w:r w:rsidR="00BD51AF" w:rsidRPr="00BD51AF">
          <w:rPr>
            <w:rStyle w:val="Hyperlink"/>
            <w:rFonts w:asciiTheme="minorHAnsi" w:hAnsiTheme="minorHAnsi"/>
          </w:rPr>
          <w:t>See template</w:t>
        </w:r>
      </w:hyperlink>
      <w:r w:rsidR="00BD51AF">
        <w:rPr>
          <w:rFonts w:asciiTheme="minorHAnsi" w:hAnsiTheme="minorHAnsi"/>
        </w:rPr>
        <w:t xml:space="preserve">. </w:t>
      </w:r>
    </w:p>
    <w:p w14:paraId="735F5FAB" w14:textId="32F70731" w:rsidR="00D76426" w:rsidRDefault="00D76426" w:rsidP="00F614DC">
      <w:pPr>
        <w:pStyle w:val="ListParagraph"/>
        <w:numPr>
          <w:ilvl w:val="1"/>
          <w:numId w:val="6"/>
        </w:numPr>
        <w:spacing w:after="0" w:line="240" w:lineRule="auto"/>
        <w:rPr>
          <w:rFonts w:asciiTheme="minorHAnsi" w:hAnsiTheme="minorHAnsi"/>
        </w:rPr>
      </w:pPr>
      <w:r>
        <w:rPr>
          <w:rFonts w:asciiTheme="minorHAnsi" w:hAnsiTheme="minorHAnsi"/>
        </w:rPr>
        <w:t xml:space="preserve">An </w:t>
      </w:r>
      <w:r w:rsidRPr="00D76426">
        <w:rPr>
          <w:rFonts w:asciiTheme="minorHAnsi" w:hAnsiTheme="minorHAnsi"/>
          <w:b/>
        </w:rPr>
        <w:t>informed consent form template</w:t>
      </w:r>
      <w:r>
        <w:rPr>
          <w:rFonts w:asciiTheme="minorHAnsi" w:hAnsiTheme="minorHAnsi"/>
        </w:rPr>
        <w:t xml:space="preserve"> to be used for each site.</w:t>
      </w:r>
    </w:p>
    <w:p w14:paraId="1447B481" w14:textId="49DBAB8E" w:rsidR="00D76426" w:rsidRPr="00D76426" w:rsidRDefault="002B60C3" w:rsidP="00F614DC">
      <w:pPr>
        <w:pStyle w:val="ListParagraph"/>
        <w:numPr>
          <w:ilvl w:val="1"/>
          <w:numId w:val="6"/>
        </w:numPr>
        <w:spacing w:after="0" w:line="240" w:lineRule="auto"/>
        <w:rPr>
          <w:rFonts w:asciiTheme="minorHAnsi" w:hAnsiTheme="minorHAnsi"/>
          <w:b/>
        </w:rPr>
      </w:pPr>
      <w:r>
        <w:rPr>
          <w:rFonts w:asciiTheme="minorHAnsi" w:hAnsiTheme="minorHAnsi"/>
          <w:b/>
        </w:rPr>
        <w:t xml:space="preserve">Relevant </w:t>
      </w:r>
      <w:r w:rsidR="00BD51AF">
        <w:rPr>
          <w:rFonts w:asciiTheme="minorHAnsi" w:hAnsiTheme="minorHAnsi"/>
          <w:b/>
        </w:rPr>
        <w:t>[</w:t>
      </w:r>
      <w:r w:rsidR="00BD51AF" w:rsidRPr="0006606D">
        <w:rPr>
          <w:bCs/>
          <w:sz w:val="24"/>
          <w:szCs w:val="24"/>
          <w:highlight w:val="yellow"/>
        </w:rPr>
        <w:t>insert institution name here</w:t>
      </w:r>
      <w:r w:rsidR="00BD51AF" w:rsidRPr="005942A0">
        <w:rPr>
          <w:b/>
          <w:bCs/>
        </w:rPr>
        <w:t>]</w:t>
      </w:r>
      <w:r w:rsidR="00BD51AF">
        <w:rPr>
          <w:rFonts w:asciiTheme="minorHAnsi" w:hAnsiTheme="minorHAnsi"/>
          <w:b/>
        </w:rPr>
        <w:t xml:space="preserve"> </w:t>
      </w:r>
      <w:r>
        <w:rPr>
          <w:rFonts w:asciiTheme="minorHAnsi" w:hAnsiTheme="minorHAnsi"/>
          <w:b/>
        </w:rPr>
        <w:t>HRPP policies.</w:t>
      </w:r>
    </w:p>
    <w:p w14:paraId="65B8456E" w14:textId="77777777" w:rsidR="00D76426" w:rsidRDefault="00D76426" w:rsidP="00F614DC">
      <w:pPr>
        <w:pStyle w:val="ListParagraph"/>
        <w:spacing w:after="0" w:line="240" w:lineRule="auto"/>
        <w:rPr>
          <w:rFonts w:asciiTheme="minorHAnsi" w:hAnsiTheme="minorHAnsi"/>
        </w:rPr>
      </w:pPr>
    </w:p>
    <w:p w14:paraId="4BFCFFD0" w14:textId="2E0C9C93" w:rsidR="00D76426" w:rsidRDefault="00D76426" w:rsidP="00F614DC">
      <w:pPr>
        <w:pStyle w:val="ListParagraph"/>
        <w:numPr>
          <w:ilvl w:val="0"/>
          <w:numId w:val="6"/>
        </w:numPr>
        <w:spacing w:after="0" w:line="240" w:lineRule="auto"/>
        <w:rPr>
          <w:rFonts w:asciiTheme="minorHAnsi" w:hAnsiTheme="minorHAnsi"/>
        </w:rPr>
      </w:pPr>
      <w:r>
        <w:rPr>
          <w:rFonts w:asciiTheme="minorHAnsi" w:hAnsiTheme="minorHAnsi"/>
        </w:rPr>
        <w:t xml:space="preserve">The </w:t>
      </w:r>
      <w:r w:rsidRPr="005942A0">
        <w:rPr>
          <w:rFonts w:asciiTheme="minorHAnsi" w:hAnsiTheme="minorHAnsi"/>
        </w:rPr>
        <w:t>Lead Study Team/Coordinating Center</w:t>
      </w:r>
      <w:r w:rsidR="00BD51AF">
        <w:rPr>
          <w:rFonts w:asciiTheme="minorHAnsi" w:hAnsiTheme="minorHAnsi"/>
        </w:rPr>
        <w:t xml:space="preserve"> </w:t>
      </w:r>
      <w:r w:rsidRPr="00BD51AF">
        <w:rPr>
          <w:rFonts w:asciiTheme="minorHAnsi" w:hAnsiTheme="minorHAnsi"/>
        </w:rPr>
        <w:t>will do</w:t>
      </w:r>
      <w:r>
        <w:rPr>
          <w:rFonts w:asciiTheme="minorHAnsi" w:hAnsiTheme="minorHAnsi"/>
        </w:rPr>
        <w:t xml:space="preserve"> the following:</w:t>
      </w:r>
    </w:p>
    <w:p w14:paraId="72AE0538" w14:textId="2624EF67" w:rsidR="00D76426" w:rsidRDefault="00D76426" w:rsidP="00F614DC">
      <w:pPr>
        <w:pStyle w:val="ListParagraph"/>
        <w:numPr>
          <w:ilvl w:val="1"/>
          <w:numId w:val="6"/>
        </w:numPr>
        <w:spacing w:after="0" w:line="240" w:lineRule="auto"/>
        <w:rPr>
          <w:rFonts w:asciiTheme="minorHAnsi" w:hAnsiTheme="minorHAnsi"/>
        </w:rPr>
      </w:pPr>
      <w:r>
        <w:rPr>
          <w:rFonts w:asciiTheme="minorHAnsi" w:hAnsiTheme="minorHAnsi"/>
        </w:rPr>
        <w:t>Disseminate the above materials to all participating site study teams.</w:t>
      </w:r>
    </w:p>
    <w:p w14:paraId="017B5B63" w14:textId="77777777" w:rsidR="00D76426" w:rsidRPr="00EC7707" w:rsidRDefault="00D76426" w:rsidP="00F614DC">
      <w:pPr>
        <w:pStyle w:val="ListParagraph"/>
        <w:numPr>
          <w:ilvl w:val="1"/>
          <w:numId w:val="6"/>
        </w:numPr>
        <w:spacing w:after="0" w:line="240" w:lineRule="auto"/>
        <w:rPr>
          <w:rFonts w:asciiTheme="minorHAnsi" w:hAnsiTheme="minorHAnsi"/>
        </w:rPr>
      </w:pPr>
      <w:r w:rsidRPr="00EC7707">
        <w:rPr>
          <w:rFonts w:asciiTheme="minorHAnsi" w:hAnsiTheme="minorHAnsi"/>
        </w:rPr>
        <w:t>Alert study teams to problems that may affect the conduct of the study or the rights and welfare of research participants, such as unanticipated problems and serious noncompliance</w:t>
      </w:r>
    </w:p>
    <w:p w14:paraId="746D96CA" w14:textId="4DA4D3A2" w:rsidR="00D76426" w:rsidRDefault="00D76426" w:rsidP="00F614DC">
      <w:pPr>
        <w:pStyle w:val="ListParagraph"/>
        <w:numPr>
          <w:ilvl w:val="1"/>
          <w:numId w:val="6"/>
        </w:numPr>
        <w:spacing w:after="0" w:line="240" w:lineRule="auto"/>
        <w:rPr>
          <w:rFonts w:asciiTheme="minorHAnsi" w:hAnsiTheme="minorHAnsi"/>
        </w:rPr>
      </w:pPr>
      <w:r w:rsidRPr="00EC7707">
        <w:rPr>
          <w:rFonts w:asciiTheme="minorHAnsi" w:hAnsiTheme="minorHAnsi"/>
        </w:rPr>
        <w:t>Inform study teams of any changes in study status (e.g., temporary suspensions of recruitment) or new information</w:t>
      </w:r>
    </w:p>
    <w:p w14:paraId="779585F6" w14:textId="77777777" w:rsidR="00F614DC" w:rsidRPr="00EC7707" w:rsidRDefault="00F614DC" w:rsidP="00F614DC">
      <w:pPr>
        <w:pStyle w:val="ListParagraph"/>
        <w:numPr>
          <w:ilvl w:val="1"/>
          <w:numId w:val="6"/>
        </w:numPr>
        <w:spacing w:after="0" w:line="240" w:lineRule="auto"/>
        <w:rPr>
          <w:rFonts w:asciiTheme="minorHAnsi" w:hAnsiTheme="minorHAnsi"/>
        </w:rPr>
      </w:pPr>
      <w:r w:rsidRPr="00EC7707">
        <w:rPr>
          <w:rFonts w:asciiTheme="minorHAnsi" w:hAnsiTheme="minorHAnsi"/>
        </w:rPr>
        <w:t xml:space="preserve">Facilitate submissions to the Reviewing IRB, including: </w:t>
      </w:r>
    </w:p>
    <w:p w14:paraId="3E4123A1"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Inclusion of site-specific requirements in consent documents</w:t>
      </w:r>
    </w:p>
    <w:p w14:paraId="6400BBAA"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Identification of any variability in study implementation across sites that must be communicated to the Reviewing IRB</w:t>
      </w:r>
    </w:p>
    <w:p w14:paraId="0B2C6358"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Collection of information from participating sites to include in continuing review reports to the Reviewing IRB</w:t>
      </w:r>
    </w:p>
    <w:p w14:paraId="40EBE0BD"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Site-specific amendments</w:t>
      </w:r>
    </w:p>
    <w:p w14:paraId="34198E39"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Personnel updates (as required by the Reviewing IRB)</w:t>
      </w:r>
    </w:p>
    <w:p w14:paraId="5371F932"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Reportable events (e.g., noncompliance, unanticipated problems)</w:t>
      </w:r>
    </w:p>
    <w:p w14:paraId="5671E0DC" w14:textId="77777777" w:rsidR="00F614DC" w:rsidRPr="00EC7707" w:rsidRDefault="00F614DC" w:rsidP="00F614DC">
      <w:pPr>
        <w:pStyle w:val="ListParagraph"/>
        <w:numPr>
          <w:ilvl w:val="2"/>
          <w:numId w:val="6"/>
        </w:numPr>
        <w:spacing w:after="0" w:line="240" w:lineRule="auto"/>
        <w:rPr>
          <w:rFonts w:asciiTheme="minorHAnsi" w:hAnsiTheme="minorHAnsi"/>
        </w:rPr>
      </w:pPr>
      <w:r w:rsidRPr="00EC7707">
        <w:rPr>
          <w:rFonts w:asciiTheme="minorHAnsi" w:hAnsiTheme="minorHAnsi"/>
        </w:rPr>
        <w:t>Closure reports</w:t>
      </w:r>
    </w:p>
    <w:p w14:paraId="64AE8F3B" w14:textId="77777777" w:rsidR="00F614DC" w:rsidRPr="00EC7707" w:rsidRDefault="00F614DC" w:rsidP="00F614DC">
      <w:pPr>
        <w:pStyle w:val="ListParagraph"/>
        <w:numPr>
          <w:ilvl w:val="1"/>
          <w:numId w:val="6"/>
        </w:numPr>
        <w:spacing w:after="0" w:line="240" w:lineRule="auto"/>
        <w:rPr>
          <w:rFonts w:asciiTheme="minorHAnsi" w:hAnsiTheme="minorHAnsi"/>
        </w:rPr>
      </w:pPr>
      <w:r w:rsidRPr="00EC7707">
        <w:rPr>
          <w:rFonts w:asciiTheme="minorHAnsi" w:hAnsiTheme="minorHAnsi"/>
        </w:rPr>
        <w:t>Ensure revisions to applicable conflict of interest management plans are provided to the Reviewing IRB</w:t>
      </w:r>
    </w:p>
    <w:p w14:paraId="72011177" w14:textId="77777777" w:rsidR="00D76426" w:rsidRPr="00F614DC" w:rsidRDefault="00D76426" w:rsidP="00F614DC">
      <w:pPr>
        <w:spacing w:after="0" w:line="240" w:lineRule="auto"/>
        <w:contextualSpacing/>
      </w:pPr>
    </w:p>
    <w:p w14:paraId="06A8336D" w14:textId="606C0CE9" w:rsidR="00F614DC" w:rsidRDefault="00D76426" w:rsidP="00F614DC">
      <w:pPr>
        <w:pStyle w:val="ListParagraph"/>
        <w:numPr>
          <w:ilvl w:val="0"/>
          <w:numId w:val="6"/>
        </w:numPr>
        <w:spacing w:after="0" w:line="240" w:lineRule="auto"/>
        <w:rPr>
          <w:rFonts w:asciiTheme="minorHAnsi" w:hAnsiTheme="minorHAnsi"/>
        </w:rPr>
      </w:pPr>
      <w:r>
        <w:rPr>
          <w:rFonts w:asciiTheme="minorHAnsi" w:hAnsiTheme="minorHAnsi"/>
        </w:rPr>
        <w:t xml:space="preserve">IREx </w:t>
      </w:r>
      <w:r w:rsidR="00F614DC">
        <w:rPr>
          <w:rFonts w:asciiTheme="minorHAnsi" w:hAnsiTheme="minorHAnsi"/>
        </w:rPr>
        <w:t>will be</w:t>
      </w:r>
      <w:r>
        <w:rPr>
          <w:rFonts w:asciiTheme="minorHAnsi" w:hAnsiTheme="minorHAnsi"/>
        </w:rPr>
        <w:t xml:space="preserve"> used to </w:t>
      </w:r>
      <w:r w:rsidR="00F614DC">
        <w:rPr>
          <w:rFonts w:asciiTheme="minorHAnsi" w:hAnsiTheme="minorHAnsi"/>
        </w:rPr>
        <w:t>do the following:</w:t>
      </w:r>
    </w:p>
    <w:p w14:paraId="7DC99251" w14:textId="77777777" w:rsidR="00F614DC" w:rsidRPr="008318C6" w:rsidRDefault="00F614DC" w:rsidP="00F614DC">
      <w:pPr>
        <w:pStyle w:val="ListParagraph"/>
        <w:numPr>
          <w:ilvl w:val="1"/>
          <w:numId w:val="6"/>
        </w:numPr>
        <w:spacing w:after="0" w:line="240" w:lineRule="auto"/>
        <w:rPr>
          <w:rFonts w:asciiTheme="minorHAnsi" w:hAnsiTheme="minorHAnsi" w:cstheme="minorHAnsi"/>
        </w:rPr>
      </w:pPr>
      <w:r w:rsidRPr="008318C6">
        <w:rPr>
          <w:rFonts w:asciiTheme="minorHAnsi" w:hAnsiTheme="minorHAnsi" w:cstheme="minorHAnsi"/>
        </w:rPr>
        <w:t xml:space="preserve">Document and track reliance arrangements between FWA-holders and component sites; </w:t>
      </w:r>
    </w:p>
    <w:p w14:paraId="38FF36B2" w14:textId="77777777" w:rsidR="00F614DC" w:rsidRPr="008318C6" w:rsidRDefault="00F614DC" w:rsidP="00F614DC">
      <w:pPr>
        <w:pStyle w:val="ListParagraph"/>
        <w:numPr>
          <w:ilvl w:val="1"/>
          <w:numId w:val="6"/>
        </w:numPr>
        <w:spacing w:after="0" w:line="240" w:lineRule="auto"/>
        <w:rPr>
          <w:rFonts w:asciiTheme="minorHAnsi" w:hAnsiTheme="minorHAnsi" w:cstheme="minorHAnsi"/>
        </w:rPr>
      </w:pPr>
      <w:r w:rsidRPr="008318C6">
        <w:rPr>
          <w:rFonts w:asciiTheme="minorHAnsi" w:hAnsiTheme="minorHAnsi" w:cstheme="minorHAnsi"/>
        </w:rPr>
        <w:t>Track participating site progress towards initial IRB approval;</w:t>
      </w:r>
    </w:p>
    <w:p w14:paraId="31E21B83" w14:textId="77777777" w:rsidR="00F614DC" w:rsidRPr="008318C6" w:rsidRDefault="00F614DC" w:rsidP="00F614DC">
      <w:pPr>
        <w:pStyle w:val="ListParagraph"/>
        <w:numPr>
          <w:ilvl w:val="1"/>
          <w:numId w:val="6"/>
        </w:numPr>
        <w:spacing w:after="0" w:line="240" w:lineRule="auto"/>
        <w:rPr>
          <w:rFonts w:asciiTheme="minorHAnsi" w:hAnsiTheme="minorHAnsi" w:cstheme="minorHAnsi"/>
        </w:rPr>
      </w:pPr>
      <w:r w:rsidRPr="008318C6">
        <w:rPr>
          <w:rFonts w:asciiTheme="minorHAnsi" w:hAnsiTheme="minorHAnsi" w:cstheme="minorHAnsi"/>
        </w:rPr>
        <w:t>Streamline and centralize the capture of participating sites’ local considerations on a study-by-study basis;</w:t>
      </w:r>
    </w:p>
    <w:p w14:paraId="7C6AD8A4" w14:textId="1F017776" w:rsidR="00F614DC" w:rsidRPr="00EC7707" w:rsidRDefault="00F614DC" w:rsidP="00F614DC">
      <w:pPr>
        <w:pStyle w:val="ListParagraph"/>
        <w:numPr>
          <w:ilvl w:val="1"/>
          <w:numId w:val="6"/>
        </w:numPr>
        <w:spacing w:after="0" w:line="240" w:lineRule="auto"/>
      </w:pPr>
      <w:r>
        <w:rPr>
          <w:rFonts w:asciiTheme="minorHAnsi" w:hAnsiTheme="minorHAnsi"/>
        </w:rPr>
        <w:t xml:space="preserve">Capture and notify participating sites of </w:t>
      </w:r>
      <w:r w:rsidRPr="00EC7707">
        <w:rPr>
          <w:rFonts w:asciiTheme="minorHAnsi" w:hAnsiTheme="minorHAnsi"/>
        </w:rPr>
        <w:t>IRB determinations and IRB-approved documents</w:t>
      </w:r>
      <w:r>
        <w:rPr>
          <w:rFonts w:asciiTheme="minorHAnsi" w:hAnsiTheme="minorHAnsi"/>
        </w:rPr>
        <w:t>.</w:t>
      </w:r>
      <w:r w:rsidRPr="00EC7707">
        <w:t xml:space="preserve"> </w:t>
      </w:r>
    </w:p>
    <w:p w14:paraId="0593D049" w14:textId="77777777" w:rsidR="00F614DC" w:rsidRPr="008318C6" w:rsidRDefault="00F614DC" w:rsidP="00F614DC">
      <w:pPr>
        <w:pStyle w:val="ListParagraph"/>
        <w:numPr>
          <w:ilvl w:val="1"/>
          <w:numId w:val="6"/>
        </w:numPr>
        <w:spacing w:after="0" w:line="240" w:lineRule="auto"/>
        <w:rPr>
          <w:rFonts w:asciiTheme="minorHAnsi" w:hAnsiTheme="minorHAnsi" w:cstheme="minorHAnsi"/>
        </w:rPr>
      </w:pPr>
      <w:r w:rsidRPr="008318C6">
        <w:rPr>
          <w:rFonts w:asciiTheme="minorHAnsi" w:hAnsiTheme="minorHAnsi" w:cstheme="minorHAnsi"/>
        </w:rPr>
        <w:t xml:space="preserve">Facilitate communications to participating sites when actions are required; and </w:t>
      </w:r>
    </w:p>
    <w:p w14:paraId="71664C9A" w14:textId="34DF7C75" w:rsidR="008B343F" w:rsidRDefault="00F614DC" w:rsidP="00F614DC">
      <w:pPr>
        <w:pStyle w:val="ListParagraph"/>
        <w:numPr>
          <w:ilvl w:val="1"/>
          <w:numId w:val="6"/>
        </w:numPr>
        <w:spacing w:after="0" w:line="240" w:lineRule="auto"/>
      </w:pPr>
      <w:r w:rsidRPr="008318C6">
        <w:rPr>
          <w:rFonts w:asciiTheme="minorHAnsi" w:hAnsiTheme="minorHAnsi" w:cstheme="minorHAnsi"/>
        </w:rPr>
        <w:t>Automate notifications to participating sites of new approvals.</w:t>
      </w:r>
      <w:r w:rsidRPr="00094F6F">
        <w:rPr>
          <w:rFonts w:asciiTheme="minorHAnsi" w:hAnsiTheme="minorHAnsi" w:cstheme="minorHAnsi"/>
        </w:rPr>
        <w:t xml:space="preserve"> </w:t>
      </w:r>
      <w:r>
        <w:rPr>
          <w:rFonts w:asciiTheme="minorHAnsi" w:eastAsia="Times New Roman" w:hAnsiTheme="minorHAnsi" w:cstheme="minorHAnsi"/>
          <w:color w:val="000000"/>
        </w:rPr>
        <w:t xml:space="preserve"> </w:t>
      </w:r>
    </w:p>
    <w:sectPr w:rsidR="008B343F">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erdoz, Emily Sheffer [2]" w:date="2018-05-09T15:26:00Z" w:initials="SES">
    <w:p w14:paraId="37BECEFD" w14:textId="08A31612" w:rsidR="00E651D0" w:rsidRDefault="00E651D0">
      <w:pPr>
        <w:pStyle w:val="CommentText"/>
      </w:pPr>
      <w:r>
        <w:rPr>
          <w:rStyle w:val="CommentReference"/>
        </w:rPr>
        <w:annotationRef/>
      </w:r>
      <w:r>
        <w:t>Each site PI will need to seek confirmation from their local Human Research Protection Program (HRPP)/IRB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CE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CEFD" w16cid:durableId="211B5C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5B52F" w14:textId="77777777" w:rsidR="00787089" w:rsidRDefault="00787089" w:rsidP="00C134DE">
      <w:pPr>
        <w:spacing w:after="0" w:line="240" w:lineRule="auto"/>
      </w:pPr>
      <w:r>
        <w:separator/>
      </w:r>
    </w:p>
  </w:endnote>
  <w:endnote w:type="continuationSeparator" w:id="0">
    <w:p w14:paraId="2550AF4D" w14:textId="77777777" w:rsidR="00787089" w:rsidRDefault="00787089" w:rsidP="00C1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Arial"/>
    <w:charset w:val="00"/>
    <w:family w:val="swiss"/>
    <w:pitch w:val="variable"/>
    <w:sig w:usb0="00000000" w:usb1="00007843" w:usb2="0000000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A7B81" w14:textId="068DDF65" w:rsidR="00C134DE" w:rsidRDefault="00971D37" w:rsidP="00971D37">
    <w:pPr>
      <w:pStyle w:val="Footer"/>
      <w:tabs>
        <w:tab w:val="clear" w:pos="4680"/>
        <w:tab w:val="clear" w:pos="9360"/>
        <w:tab w:val="left" w:pos="2700"/>
        <w:tab w:val="center" w:pos="4770"/>
      </w:tabs>
    </w:pPr>
    <w:r w:rsidRPr="00C134DE">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0160AC6" wp14:editId="628F9947">
              <wp:simplePos x="0" y="0"/>
              <wp:positionH relativeFrom="margin">
                <wp:posOffset>57150</wp:posOffset>
              </wp:positionH>
              <wp:positionV relativeFrom="paragraph">
                <wp:posOffset>-205105</wp:posOffset>
              </wp:positionV>
              <wp:extent cx="1368425" cy="2667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368425" cy="266700"/>
                      </a:xfrm>
                      <a:prstGeom prst="rect">
                        <a:avLst/>
                      </a:prstGeom>
                      <a:noFill/>
                      <a:ln>
                        <a:noFill/>
                      </a:ln>
                      <a:effectLst/>
                    </wps:spPr>
                    <wps:txbx>
                      <w:txbxContent>
                        <w:p w14:paraId="0BF80CAC" w14:textId="77777777" w:rsidR="00C134DE" w:rsidRPr="00D40DFC" w:rsidRDefault="00C134DE" w:rsidP="00C134DE">
                          <w:pPr>
                            <w:pStyle w:val="BasicParagraph"/>
                            <w:tabs>
                              <w:tab w:val="right" w:pos="9360"/>
                            </w:tabs>
                            <w:rPr>
                              <w:noProof/>
                            </w:rPr>
                          </w:pPr>
                          <w:r w:rsidRPr="00D44416">
                            <w:rPr>
                              <w:rFonts w:ascii="Arial-ItalicMT" w:hAnsi="Arial-ItalicMT" w:cs="Arial-ItalicMT"/>
                              <w:iCs/>
                              <w:sz w:val="24"/>
                              <w:szCs w:val="24"/>
                            </w:rPr>
                            <w:t>www.smartirb.org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160AC6" id="_x0000_t202" coordsize="21600,21600" o:spt="202" path="m,l,21600r21600,l21600,xe">
              <v:stroke joinstyle="miter"/>
              <v:path gradientshapeok="t" o:connecttype="rect"/>
            </v:shapetype>
            <v:shape id="Text Box 6" o:spid="_x0000_s1026" type="#_x0000_t202" style="position:absolute;margin-left:4.5pt;margin-top:-16.15pt;width:107.75pt;height:21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" filled="f" stroked="f">
              <v:textbox style="mso-fit-shape-to-text:t">
                <w:txbxContent>
                  <w:p w14:paraId="0BF80CAC" w14:textId="77777777" w:rsidR="00C134DE" w:rsidRPr="00D40DFC" w:rsidRDefault="00C134DE" w:rsidP="00C134DE">
                    <w:pPr>
                      <w:pStyle w:val="BasicParagraph"/>
                      <w:tabs>
                        <w:tab w:val="right" w:pos="9360"/>
                      </w:tabs>
                      <w:rPr>
                        <w:noProof/>
                      </w:rPr>
                    </w:pPr>
                    <w:r w:rsidRPr="00D44416">
                      <w:rPr>
                        <w:rFonts w:ascii="Arial-ItalicMT" w:hAnsi="Arial-ItalicMT" w:cs="Arial-ItalicMT"/>
                        <w:iCs/>
                        <w:sz w:val="24"/>
                        <w:szCs w:val="24"/>
                      </w:rPr>
                      <w:t>www.smartirb.org</w:t>
                    </w:r>
                  </w:p>
                </w:txbxContent>
              </v:textbox>
              <w10:wrap type="square" anchorx="margin"/>
            </v:shape>
          </w:pict>
        </mc:Fallback>
      </mc:AlternateContent>
    </w:r>
    <w:r w:rsidRPr="00C134DE">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166E5925" wp14:editId="0BBFCDB5">
              <wp:simplePos x="0" y="0"/>
              <wp:positionH relativeFrom="margin">
                <wp:posOffset>-26670</wp:posOffset>
              </wp:positionH>
              <wp:positionV relativeFrom="paragraph">
                <wp:posOffset>23495</wp:posOffset>
              </wp:positionV>
              <wp:extent cx="1368425" cy="2667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368425" cy="266700"/>
                      </a:xfrm>
                      <a:prstGeom prst="rect">
                        <a:avLst/>
                      </a:prstGeom>
                      <a:noFill/>
                      <a:ln>
                        <a:noFill/>
                      </a:ln>
                      <a:effectLst/>
                    </wps:spPr>
                    <wps:txbx>
                      <w:txbxContent>
                        <w:p w14:paraId="3E7CA4CE" w14:textId="74154485" w:rsidR="00971D37" w:rsidRPr="00D40DFC" w:rsidRDefault="005942A0" w:rsidP="00971D37">
                          <w:pPr>
                            <w:pStyle w:val="BasicParagraph"/>
                            <w:tabs>
                              <w:tab w:val="right" w:pos="9360"/>
                            </w:tabs>
                            <w:rPr>
                              <w:noProof/>
                            </w:rPr>
                          </w:pPr>
                          <w:hyperlink r:id="rId1" w:history="1">
                            <w:r w:rsidR="00971D37" w:rsidRPr="001F68E4">
                              <w:rPr>
                                <w:rStyle w:val="Hyperlink"/>
                              </w:rPr>
                              <w:t>https://IRBExchange.org</w:t>
                            </w:r>
                          </w:hyperlink>
                          <w:r w:rsidR="00971D37">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6E5925" id="Text Box 8" o:spid="_x0000_s1027" type="#_x0000_t202" style="position:absolute;margin-left:-2.1pt;margin-top:1.85pt;width:107.75pt;height:21pt;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" filled="f" stroked="f">
              <v:textbox style="mso-fit-shape-to-text:t">
                <w:txbxContent>
                  <w:p w14:paraId="3E7CA4CE" w14:textId="74154485" w:rsidR="00971D37" w:rsidRPr="00D40DFC" w:rsidRDefault="00971D37" w:rsidP="00971D37">
                    <w:pPr>
                      <w:pStyle w:val="BasicParagraph"/>
                      <w:tabs>
                        <w:tab w:val="right" w:pos="9360"/>
                      </w:tabs>
                      <w:rPr>
                        <w:noProof/>
                      </w:rPr>
                    </w:pPr>
                    <w:hyperlink r:id="rId2" w:history="1">
                      <w:r w:rsidRPr="001F68E4">
                        <w:rPr>
                          <w:rStyle w:val="Hyperlink"/>
                        </w:rPr>
                        <w:t>https://IRBExchange.org</w:t>
                      </w:r>
                    </w:hyperlink>
                    <w:r>
                      <w:t xml:space="preserve"> </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7B442911" wp14:editId="4707E4C5">
              <wp:simplePos x="0" y="0"/>
              <wp:positionH relativeFrom="margin">
                <wp:posOffset>1596390</wp:posOffset>
              </wp:positionH>
              <wp:positionV relativeFrom="paragraph">
                <wp:posOffset>-241935</wp:posOffset>
              </wp:positionV>
              <wp:extent cx="4463415" cy="295910"/>
              <wp:effectExtent l="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4463415" cy="295910"/>
                      </a:xfrm>
                      <a:prstGeom prst="rect">
                        <a:avLst/>
                      </a:prstGeom>
                      <a:noFill/>
                      <a:ln>
                        <a:noFill/>
                      </a:ln>
                      <a:effectLst/>
                    </wps:spPr>
                    <wps:txbx>
                      <w:txbxContent>
                        <w:p w14:paraId="0988858F" w14:textId="60DC2DEA" w:rsidR="00C134DE" w:rsidRPr="008631C5" w:rsidRDefault="00C134DE" w:rsidP="00C134DE">
                          <w:pPr>
                            <w:pStyle w:val="BasicParagraph"/>
                            <w:tabs>
                              <w:tab w:val="right" w:pos="9360"/>
                            </w:tabs>
                            <w:spacing w:line="240" w:lineRule="auto"/>
                            <w:rPr>
                              <w:rFonts w:ascii="Arial-ItalicMT" w:hAnsi="Arial-ItalicMT" w:cs="Arial-ItalicMT"/>
                              <w:iCs/>
                            </w:rPr>
                          </w:pPr>
                          <w:r w:rsidRPr="005A7C2E">
                            <w:rPr>
                              <w:rFonts w:ascii="Arial-ItalicMT" w:hAnsi="Arial-ItalicMT" w:cs="Arial-ItalicMT"/>
                              <w:bCs/>
                              <w:i/>
                              <w:iCs/>
                              <w:sz w:val="14"/>
                              <w:szCs w:val="14"/>
                            </w:rPr>
                            <w:t>Funded by the NIH National Center for Advancing Translational Sciences through its Clinical and Translational Science Awards Program, grant number UL1TR001102-04S1.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442911" id="Text Box 5" o:spid="_x0000_s1028" type="#_x0000_t202" style="position:absolute;margin-left:125.7pt;margin-top:-19.05pt;width:351.45pt;height:23.3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" filled="f" stroked="f">
              <v:textbox style="mso-fit-shape-to-text:t">
                <w:txbxContent>
                  <w:p w14:paraId="0988858F" w14:textId="60DC2DEA" w:rsidR="00C134DE" w:rsidRPr="008631C5" w:rsidRDefault="00C134DE" w:rsidP="00C134DE">
                    <w:pPr>
                      <w:pStyle w:val="BasicParagraph"/>
                      <w:tabs>
                        <w:tab w:val="right" w:pos="9360"/>
                      </w:tabs>
                      <w:spacing w:line="240" w:lineRule="auto"/>
                      <w:rPr>
                        <w:rFonts w:ascii="Arial-ItalicMT" w:hAnsi="Arial-ItalicMT" w:cs="Arial-ItalicMT"/>
                        <w:iCs/>
                      </w:rPr>
                    </w:pPr>
                    <w:r w:rsidRPr="005A7C2E">
                      <w:rPr>
                        <w:rFonts w:ascii="Arial-ItalicMT" w:hAnsi="Arial-ItalicMT" w:cs="Arial-ItalicMT"/>
                        <w:bCs/>
                        <w:i/>
                        <w:iCs/>
                        <w:sz w:val="14"/>
                        <w:szCs w:val="14"/>
                      </w:rPr>
                      <w:t>Funded by the NIH National Center for Advancing Translational Sciences through its Clinical and Translational Science Awards Program, grant number UL1TR001102-04S1.</w:t>
                    </w:r>
                  </w:p>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01334577" wp14:editId="749B6BEF">
              <wp:simplePos x="0" y="0"/>
              <wp:positionH relativeFrom="margin">
                <wp:posOffset>1600200</wp:posOffset>
              </wp:positionH>
              <wp:positionV relativeFrom="paragraph">
                <wp:posOffset>1905</wp:posOffset>
              </wp:positionV>
              <wp:extent cx="4463415" cy="29591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4463415" cy="295910"/>
                      </a:xfrm>
                      <a:prstGeom prst="rect">
                        <a:avLst/>
                      </a:prstGeom>
                      <a:noFill/>
                      <a:ln>
                        <a:noFill/>
                      </a:ln>
                      <a:effectLst/>
                    </wps:spPr>
                    <wps:txbx>
                      <w:txbxContent>
                        <w:p w14:paraId="7BA08154" w14:textId="1641C452" w:rsidR="00971D37" w:rsidRPr="00971D37" w:rsidRDefault="00971D37" w:rsidP="00971D37">
                          <w:pPr>
                            <w:pStyle w:val="BasicParagraph"/>
                            <w:tabs>
                              <w:tab w:val="right" w:pos="9360"/>
                            </w:tabs>
                            <w:spacing w:line="240" w:lineRule="auto"/>
                            <w:rPr>
                              <w:rFonts w:ascii="Arial-ItalicMT" w:hAnsi="Arial-ItalicMT" w:cs="Arial-ItalicMT"/>
                              <w:i/>
                              <w:iCs/>
                              <w:sz w:val="14"/>
                              <w:szCs w:val="18"/>
                            </w:rPr>
                          </w:pPr>
                          <w:r w:rsidRPr="00971D37">
                            <w:rPr>
                              <w:i/>
                              <w:sz w:val="14"/>
                              <w:szCs w:val="18"/>
                            </w:rPr>
                            <w:t xml:space="preserve">Funded by the NIH National Center for Advancing Translational Science through the Trial Innovation Network, grant number </w:t>
                          </w:r>
                          <w:r>
                            <w:rPr>
                              <w:i/>
                              <w:sz w:val="14"/>
                              <w:szCs w:val="18"/>
                            </w:rPr>
                            <w:t>U24 TR001608.</w:t>
                          </w:r>
                          <w:r w:rsidRPr="00971D37" w:rsidDel="00971D37">
                            <w:rPr>
                              <w:rFonts w:ascii="Arial-ItalicMT" w:hAnsi="Arial-ItalicMT" w:cs="Arial-ItalicMT"/>
                              <w:bCs/>
                              <w:i/>
                              <w:iCs/>
                              <w:sz w:val="14"/>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1334577" id="Text Box 3" o:spid="_x0000_s1029" type="#_x0000_t202" style="position:absolute;margin-left:126pt;margin-top:.15pt;width:351.45pt;height:23.3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" filled="f" stroked="f">
              <v:textbox style="mso-fit-shape-to-text:t">
                <w:txbxContent>
                  <w:p w14:paraId="7BA08154" w14:textId="1641C452" w:rsidR="00971D37" w:rsidRPr="00971D37" w:rsidRDefault="00971D37" w:rsidP="00971D37">
                    <w:pPr>
                      <w:pStyle w:val="BasicParagraph"/>
                      <w:tabs>
                        <w:tab w:val="right" w:pos="9360"/>
                      </w:tabs>
                      <w:spacing w:line="240" w:lineRule="auto"/>
                      <w:rPr>
                        <w:rFonts w:ascii="Arial-ItalicMT" w:hAnsi="Arial-ItalicMT" w:cs="Arial-ItalicMT"/>
                        <w:i/>
                        <w:iCs/>
                        <w:sz w:val="14"/>
                        <w:szCs w:val="18"/>
                      </w:rPr>
                    </w:pPr>
                    <w:r w:rsidRPr="00971D37">
                      <w:rPr>
                        <w:i/>
                        <w:sz w:val="14"/>
                        <w:szCs w:val="18"/>
                      </w:rPr>
                      <w:t xml:space="preserve">Funded by the NIH National Center for Advancing Translational Science through the Trial Innovation Network, grant number </w:t>
                    </w:r>
                    <w:r>
                      <w:rPr>
                        <w:i/>
                        <w:sz w:val="14"/>
                        <w:szCs w:val="18"/>
                      </w:rPr>
                      <w:t>U24 TR001608.</w:t>
                    </w:r>
                    <w:r w:rsidRPr="00971D37" w:rsidDel="00971D37">
                      <w:rPr>
                        <w:rFonts w:ascii="Arial-ItalicMT" w:hAnsi="Arial-ItalicMT" w:cs="Arial-ItalicMT"/>
                        <w:bCs/>
                        <w:i/>
                        <w:iCs/>
                        <w:sz w:val="14"/>
                        <w:szCs w:val="18"/>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EF16" w14:textId="77777777" w:rsidR="00787089" w:rsidRDefault="00787089" w:rsidP="00C134DE">
      <w:pPr>
        <w:spacing w:after="0" w:line="240" w:lineRule="auto"/>
      </w:pPr>
      <w:r>
        <w:separator/>
      </w:r>
    </w:p>
  </w:footnote>
  <w:footnote w:type="continuationSeparator" w:id="0">
    <w:p w14:paraId="6E61D913" w14:textId="77777777" w:rsidR="00787089" w:rsidRDefault="00787089" w:rsidP="00C13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4D6E" w14:textId="4B016B06" w:rsidR="00C134DE" w:rsidRDefault="00F23F07">
    <w:pPr>
      <w:pStyle w:val="Header"/>
    </w:pPr>
    <w:r>
      <w:rPr>
        <w:rFonts w:ascii="Calibri" w:eastAsia="Calibri" w:hAnsi="Calibri" w:cs="Times New Roman"/>
        <w:noProof/>
      </w:rPr>
      <w:drawing>
        <wp:anchor distT="0" distB="0" distL="114300" distR="114300" simplePos="0" relativeHeight="251662336" behindDoc="0" locked="0" layoutInCell="1" allowOverlap="1" wp14:anchorId="1B2826C3" wp14:editId="25E83128">
          <wp:simplePos x="0" y="0"/>
          <wp:positionH relativeFrom="column">
            <wp:posOffset>3238500</wp:posOffset>
          </wp:positionH>
          <wp:positionV relativeFrom="paragraph">
            <wp:posOffset>6350</wp:posOffset>
          </wp:positionV>
          <wp:extent cx="2980055" cy="565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EX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055" cy="565150"/>
                  </a:xfrm>
                  <a:prstGeom prst="rect">
                    <a:avLst/>
                  </a:prstGeom>
                </pic:spPr>
              </pic:pic>
            </a:graphicData>
          </a:graphic>
        </wp:anchor>
      </w:drawing>
    </w:r>
    <w:r w:rsidR="00C134DE" w:rsidRPr="00C134DE">
      <w:rPr>
        <w:rFonts w:ascii="Calibri" w:eastAsia="Calibri" w:hAnsi="Calibri" w:cs="Times New Roman"/>
        <w:noProof/>
      </w:rPr>
      <w:drawing>
        <wp:anchor distT="0" distB="0" distL="114300" distR="114300" simplePos="0" relativeHeight="251663360" behindDoc="0" locked="0" layoutInCell="1" allowOverlap="1" wp14:anchorId="62D170A8" wp14:editId="18473DDF">
          <wp:simplePos x="0" y="0"/>
          <wp:positionH relativeFrom="column">
            <wp:posOffset>0</wp:posOffset>
          </wp:positionH>
          <wp:positionV relativeFrom="paragraph">
            <wp:posOffset>0</wp:posOffset>
          </wp:positionV>
          <wp:extent cx="1537335" cy="55308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Logo_SMARTIR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7335" cy="553085"/>
                  </a:xfrm>
                  <a:prstGeom prst="rect">
                    <a:avLst/>
                  </a:prstGeom>
                </pic:spPr>
              </pic:pic>
            </a:graphicData>
          </a:graphic>
          <wp14:sizeRelH relativeFrom="margin">
            <wp14:pctWidth>0</wp14:pctWidth>
          </wp14:sizeRelH>
          <wp14:sizeRelV relativeFrom="margin">
            <wp14:pctHeight>0</wp14:pctHeight>
          </wp14:sizeRelV>
        </wp:anchor>
      </w:drawing>
    </w:r>
  </w:p>
  <w:p w14:paraId="2F5A53D2" w14:textId="3BDE00B3" w:rsidR="00C134DE" w:rsidRDefault="00C134DE">
    <w:pPr>
      <w:pStyle w:val="Header"/>
    </w:pPr>
  </w:p>
  <w:p w14:paraId="4ECD9770" w14:textId="4037774F" w:rsidR="008318C6" w:rsidRDefault="008318C6">
    <w:pPr>
      <w:pStyle w:val="Header"/>
    </w:pPr>
  </w:p>
  <w:p w14:paraId="2AE8E073" w14:textId="77777777" w:rsidR="008318C6" w:rsidRDefault="00831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0F00"/>
    <w:multiLevelType w:val="hybridMultilevel"/>
    <w:tmpl w:val="0DD60526"/>
    <w:lvl w:ilvl="0" w:tplc="1A800D4E">
      <w:start w:val="1"/>
      <w:numFmt w:val="bullet"/>
      <w:lvlText w:val=""/>
      <w:lvlJc w:val="left"/>
      <w:pPr>
        <w:ind w:left="1440" w:hanging="360"/>
      </w:pPr>
      <w:rPr>
        <w:rFonts w:ascii="Symbol" w:hAnsi="Symbol" w:hint="default"/>
      </w:rPr>
    </w:lvl>
    <w:lvl w:ilvl="1" w:tplc="EC7AAA78">
      <w:start w:val="1"/>
      <w:numFmt w:val="bullet"/>
      <w:lvlText w:val="o"/>
      <w:lvlJc w:val="left"/>
      <w:pPr>
        <w:ind w:left="2160" w:hanging="360"/>
      </w:pPr>
      <w:rPr>
        <w:rFonts w:ascii="Courier New" w:hAnsi="Courier New" w:cs="Courier New" w:hint="default"/>
      </w:rPr>
    </w:lvl>
    <w:lvl w:ilvl="2" w:tplc="27AA2536" w:tentative="1">
      <w:start w:val="1"/>
      <w:numFmt w:val="bullet"/>
      <w:lvlText w:val=""/>
      <w:lvlJc w:val="left"/>
      <w:pPr>
        <w:ind w:left="2880" w:hanging="360"/>
      </w:pPr>
      <w:rPr>
        <w:rFonts w:ascii="Wingdings" w:hAnsi="Wingdings" w:hint="default"/>
      </w:rPr>
    </w:lvl>
    <w:lvl w:ilvl="3" w:tplc="016AAA8A" w:tentative="1">
      <w:start w:val="1"/>
      <w:numFmt w:val="bullet"/>
      <w:lvlText w:val=""/>
      <w:lvlJc w:val="left"/>
      <w:pPr>
        <w:ind w:left="3600" w:hanging="360"/>
      </w:pPr>
      <w:rPr>
        <w:rFonts w:ascii="Symbol" w:hAnsi="Symbol" w:hint="default"/>
      </w:rPr>
    </w:lvl>
    <w:lvl w:ilvl="4" w:tplc="20FCDB7C" w:tentative="1">
      <w:start w:val="1"/>
      <w:numFmt w:val="bullet"/>
      <w:lvlText w:val="o"/>
      <w:lvlJc w:val="left"/>
      <w:pPr>
        <w:ind w:left="4320" w:hanging="360"/>
      </w:pPr>
      <w:rPr>
        <w:rFonts w:ascii="Courier New" w:hAnsi="Courier New" w:cs="Courier New" w:hint="default"/>
      </w:rPr>
    </w:lvl>
    <w:lvl w:ilvl="5" w:tplc="ADA057AA" w:tentative="1">
      <w:start w:val="1"/>
      <w:numFmt w:val="bullet"/>
      <w:lvlText w:val=""/>
      <w:lvlJc w:val="left"/>
      <w:pPr>
        <w:ind w:left="5040" w:hanging="360"/>
      </w:pPr>
      <w:rPr>
        <w:rFonts w:ascii="Wingdings" w:hAnsi="Wingdings" w:hint="default"/>
      </w:rPr>
    </w:lvl>
    <w:lvl w:ilvl="6" w:tplc="6E6800CE" w:tentative="1">
      <w:start w:val="1"/>
      <w:numFmt w:val="bullet"/>
      <w:lvlText w:val=""/>
      <w:lvlJc w:val="left"/>
      <w:pPr>
        <w:ind w:left="5760" w:hanging="360"/>
      </w:pPr>
      <w:rPr>
        <w:rFonts w:ascii="Symbol" w:hAnsi="Symbol" w:hint="default"/>
      </w:rPr>
    </w:lvl>
    <w:lvl w:ilvl="7" w:tplc="3EA6B036" w:tentative="1">
      <w:start w:val="1"/>
      <w:numFmt w:val="bullet"/>
      <w:lvlText w:val="o"/>
      <w:lvlJc w:val="left"/>
      <w:pPr>
        <w:ind w:left="6480" w:hanging="360"/>
      </w:pPr>
      <w:rPr>
        <w:rFonts w:ascii="Courier New" w:hAnsi="Courier New" w:cs="Courier New" w:hint="default"/>
      </w:rPr>
    </w:lvl>
    <w:lvl w:ilvl="8" w:tplc="AD343AE2" w:tentative="1">
      <w:start w:val="1"/>
      <w:numFmt w:val="bullet"/>
      <w:lvlText w:val=""/>
      <w:lvlJc w:val="left"/>
      <w:pPr>
        <w:ind w:left="7200" w:hanging="360"/>
      </w:pPr>
      <w:rPr>
        <w:rFonts w:ascii="Wingdings" w:hAnsi="Wingdings" w:hint="default"/>
      </w:rPr>
    </w:lvl>
  </w:abstractNum>
  <w:abstractNum w:abstractNumId="1" w15:restartNumberingAfterBreak="0">
    <w:nsid w:val="24A049ED"/>
    <w:multiLevelType w:val="hybridMultilevel"/>
    <w:tmpl w:val="355EAAD0"/>
    <w:lvl w:ilvl="0" w:tplc="DD4AF36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42F17"/>
    <w:multiLevelType w:val="hybridMultilevel"/>
    <w:tmpl w:val="9794AF26"/>
    <w:lvl w:ilvl="0" w:tplc="E814E282">
      <w:start w:val="1"/>
      <w:numFmt w:val="bullet"/>
      <w:lvlText w:val=""/>
      <w:lvlJc w:val="left"/>
      <w:pPr>
        <w:ind w:left="720" w:hanging="360"/>
      </w:pPr>
      <w:rPr>
        <w:rFonts w:ascii="Symbol" w:hAnsi="Symbol" w:hint="default"/>
      </w:rPr>
    </w:lvl>
    <w:lvl w:ilvl="1" w:tplc="3636066C" w:tentative="1">
      <w:start w:val="1"/>
      <w:numFmt w:val="bullet"/>
      <w:lvlText w:val="o"/>
      <w:lvlJc w:val="left"/>
      <w:pPr>
        <w:ind w:left="1440" w:hanging="360"/>
      </w:pPr>
      <w:rPr>
        <w:rFonts w:ascii="Courier New" w:hAnsi="Courier New" w:cs="Courier New" w:hint="default"/>
      </w:rPr>
    </w:lvl>
    <w:lvl w:ilvl="2" w:tplc="C6C4F6AA" w:tentative="1">
      <w:start w:val="1"/>
      <w:numFmt w:val="bullet"/>
      <w:lvlText w:val=""/>
      <w:lvlJc w:val="left"/>
      <w:pPr>
        <w:ind w:left="2160" w:hanging="360"/>
      </w:pPr>
      <w:rPr>
        <w:rFonts w:ascii="Wingdings" w:hAnsi="Wingdings" w:hint="default"/>
      </w:rPr>
    </w:lvl>
    <w:lvl w:ilvl="3" w:tplc="A0CEAFB2" w:tentative="1">
      <w:start w:val="1"/>
      <w:numFmt w:val="bullet"/>
      <w:lvlText w:val=""/>
      <w:lvlJc w:val="left"/>
      <w:pPr>
        <w:ind w:left="2880" w:hanging="360"/>
      </w:pPr>
      <w:rPr>
        <w:rFonts w:ascii="Symbol" w:hAnsi="Symbol" w:hint="default"/>
      </w:rPr>
    </w:lvl>
    <w:lvl w:ilvl="4" w:tplc="CA966A12" w:tentative="1">
      <w:start w:val="1"/>
      <w:numFmt w:val="bullet"/>
      <w:lvlText w:val="o"/>
      <w:lvlJc w:val="left"/>
      <w:pPr>
        <w:ind w:left="3600" w:hanging="360"/>
      </w:pPr>
      <w:rPr>
        <w:rFonts w:ascii="Courier New" w:hAnsi="Courier New" w:cs="Courier New" w:hint="default"/>
      </w:rPr>
    </w:lvl>
    <w:lvl w:ilvl="5" w:tplc="C2001DA8" w:tentative="1">
      <w:start w:val="1"/>
      <w:numFmt w:val="bullet"/>
      <w:lvlText w:val=""/>
      <w:lvlJc w:val="left"/>
      <w:pPr>
        <w:ind w:left="4320" w:hanging="360"/>
      </w:pPr>
      <w:rPr>
        <w:rFonts w:ascii="Wingdings" w:hAnsi="Wingdings" w:hint="default"/>
      </w:rPr>
    </w:lvl>
    <w:lvl w:ilvl="6" w:tplc="0E2C1AEC" w:tentative="1">
      <w:start w:val="1"/>
      <w:numFmt w:val="bullet"/>
      <w:lvlText w:val=""/>
      <w:lvlJc w:val="left"/>
      <w:pPr>
        <w:ind w:left="5040" w:hanging="360"/>
      </w:pPr>
      <w:rPr>
        <w:rFonts w:ascii="Symbol" w:hAnsi="Symbol" w:hint="default"/>
      </w:rPr>
    </w:lvl>
    <w:lvl w:ilvl="7" w:tplc="2020C8DE" w:tentative="1">
      <w:start w:val="1"/>
      <w:numFmt w:val="bullet"/>
      <w:lvlText w:val="o"/>
      <w:lvlJc w:val="left"/>
      <w:pPr>
        <w:ind w:left="5760" w:hanging="360"/>
      </w:pPr>
      <w:rPr>
        <w:rFonts w:ascii="Courier New" w:hAnsi="Courier New" w:cs="Courier New" w:hint="default"/>
      </w:rPr>
    </w:lvl>
    <w:lvl w:ilvl="8" w:tplc="A006B3D0" w:tentative="1">
      <w:start w:val="1"/>
      <w:numFmt w:val="bullet"/>
      <w:lvlText w:val=""/>
      <w:lvlJc w:val="left"/>
      <w:pPr>
        <w:ind w:left="6480" w:hanging="360"/>
      </w:pPr>
      <w:rPr>
        <w:rFonts w:ascii="Wingdings" w:hAnsi="Wingdings" w:hint="default"/>
      </w:rPr>
    </w:lvl>
  </w:abstractNum>
  <w:abstractNum w:abstractNumId="3" w15:restartNumberingAfterBreak="0">
    <w:nsid w:val="3E9D4E93"/>
    <w:multiLevelType w:val="hybridMultilevel"/>
    <w:tmpl w:val="24B813D4"/>
    <w:lvl w:ilvl="0" w:tplc="5B204734">
      <w:start w:val="1"/>
      <w:numFmt w:val="bullet"/>
      <w:lvlText w:val=""/>
      <w:lvlJc w:val="left"/>
      <w:pPr>
        <w:ind w:left="1440" w:hanging="360"/>
      </w:pPr>
      <w:rPr>
        <w:rFonts w:ascii="Symbol" w:hAnsi="Symbol" w:hint="default"/>
      </w:rPr>
    </w:lvl>
    <w:lvl w:ilvl="1" w:tplc="2DDEEA6E" w:tentative="1">
      <w:start w:val="1"/>
      <w:numFmt w:val="bullet"/>
      <w:lvlText w:val="o"/>
      <w:lvlJc w:val="left"/>
      <w:pPr>
        <w:ind w:left="2160" w:hanging="360"/>
      </w:pPr>
      <w:rPr>
        <w:rFonts w:ascii="Courier New" w:hAnsi="Courier New" w:cs="Courier New" w:hint="default"/>
      </w:rPr>
    </w:lvl>
    <w:lvl w:ilvl="2" w:tplc="371CB7B0" w:tentative="1">
      <w:start w:val="1"/>
      <w:numFmt w:val="bullet"/>
      <w:lvlText w:val=""/>
      <w:lvlJc w:val="left"/>
      <w:pPr>
        <w:ind w:left="2880" w:hanging="360"/>
      </w:pPr>
      <w:rPr>
        <w:rFonts w:ascii="Wingdings" w:hAnsi="Wingdings" w:hint="default"/>
      </w:rPr>
    </w:lvl>
    <w:lvl w:ilvl="3" w:tplc="83A60608" w:tentative="1">
      <w:start w:val="1"/>
      <w:numFmt w:val="bullet"/>
      <w:lvlText w:val=""/>
      <w:lvlJc w:val="left"/>
      <w:pPr>
        <w:ind w:left="3600" w:hanging="360"/>
      </w:pPr>
      <w:rPr>
        <w:rFonts w:ascii="Symbol" w:hAnsi="Symbol" w:hint="default"/>
      </w:rPr>
    </w:lvl>
    <w:lvl w:ilvl="4" w:tplc="B524CECA" w:tentative="1">
      <w:start w:val="1"/>
      <w:numFmt w:val="bullet"/>
      <w:lvlText w:val="o"/>
      <w:lvlJc w:val="left"/>
      <w:pPr>
        <w:ind w:left="4320" w:hanging="360"/>
      </w:pPr>
      <w:rPr>
        <w:rFonts w:ascii="Courier New" w:hAnsi="Courier New" w:cs="Courier New" w:hint="default"/>
      </w:rPr>
    </w:lvl>
    <w:lvl w:ilvl="5" w:tplc="D76600E0" w:tentative="1">
      <w:start w:val="1"/>
      <w:numFmt w:val="bullet"/>
      <w:lvlText w:val=""/>
      <w:lvlJc w:val="left"/>
      <w:pPr>
        <w:ind w:left="5040" w:hanging="360"/>
      </w:pPr>
      <w:rPr>
        <w:rFonts w:ascii="Wingdings" w:hAnsi="Wingdings" w:hint="default"/>
      </w:rPr>
    </w:lvl>
    <w:lvl w:ilvl="6" w:tplc="DBE80756" w:tentative="1">
      <w:start w:val="1"/>
      <w:numFmt w:val="bullet"/>
      <w:lvlText w:val=""/>
      <w:lvlJc w:val="left"/>
      <w:pPr>
        <w:ind w:left="5760" w:hanging="360"/>
      </w:pPr>
      <w:rPr>
        <w:rFonts w:ascii="Symbol" w:hAnsi="Symbol" w:hint="default"/>
      </w:rPr>
    </w:lvl>
    <w:lvl w:ilvl="7" w:tplc="BB7C1B42" w:tentative="1">
      <w:start w:val="1"/>
      <w:numFmt w:val="bullet"/>
      <w:lvlText w:val="o"/>
      <w:lvlJc w:val="left"/>
      <w:pPr>
        <w:ind w:left="6480" w:hanging="360"/>
      </w:pPr>
      <w:rPr>
        <w:rFonts w:ascii="Courier New" w:hAnsi="Courier New" w:cs="Courier New" w:hint="default"/>
      </w:rPr>
    </w:lvl>
    <w:lvl w:ilvl="8" w:tplc="11C05EA2" w:tentative="1">
      <w:start w:val="1"/>
      <w:numFmt w:val="bullet"/>
      <w:lvlText w:val=""/>
      <w:lvlJc w:val="left"/>
      <w:pPr>
        <w:ind w:left="7200" w:hanging="360"/>
      </w:pPr>
      <w:rPr>
        <w:rFonts w:ascii="Wingdings" w:hAnsi="Wingdings" w:hint="default"/>
      </w:rPr>
    </w:lvl>
  </w:abstractNum>
  <w:abstractNum w:abstractNumId="4" w15:restartNumberingAfterBreak="0">
    <w:nsid w:val="44AB24F0"/>
    <w:multiLevelType w:val="hybridMultilevel"/>
    <w:tmpl w:val="6B842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A17C55"/>
    <w:multiLevelType w:val="hybridMultilevel"/>
    <w:tmpl w:val="3AC4E112"/>
    <w:lvl w:ilvl="0" w:tplc="1CF8C794">
      <w:start w:val="1"/>
      <w:numFmt w:val="bullet"/>
      <w:lvlText w:val=""/>
      <w:lvlJc w:val="left"/>
      <w:pPr>
        <w:ind w:left="1440" w:hanging="360"/>
      </w:pPr>
      <w:rPr>
        <w:rFonts w:ascii="Symbol" w:hAnsi="Symbol" w:hint="default"/>
      </w:rPr>
    </w:lvl>
    <w:lvl w:ilvl="1" w:tplc="284675EE" w:tentative="1">
      <w:start w:val="1"/>
      <w:numFmt w:val="bullet"/>
      <w:lvlText w:val="o"/>
      <w:lvlJc w:val="left"/>
      <w:pPr>
        <w:ind w:left="2160" w:hanging="360"/>
      </w:pPr>
      <w:rPr>
        <w:rFonts w:ascii="Courier New" w:hAnsi="Courier New" w:cs="Courier New" w:hint="default"/>
      </w:rPr>
    </w:lvl>
    <w:lvl w:ilvl="2" w:tplc="A62EE5CA" w:tentative="1">
      <w:start w:val="1"/>
      <w:numFmt w:val="bullet"/>
      <w:lvlText w:val=""/>
      <w:lvlJc w:val="left"/>
      <w:pPr>
        <w:ind w:left="2880" w:hanging="360"/>
      </w:pPr>
      <w:rPr>
        <w:rFonts w:ascii="Wingdings" w:hAnsi="Wingdings" w:hint="default"/>
      </w:rPr>
    </w:lvl>
    <w:lvl w:ilvl="3" w:tplc="3D0EB0D8" w:tentative="1">
      <w:start w:val="1"/>
      <w:numFmt w:val="bullet"/>
      <w:lvlText w:val=""/>
      <w:lvlJc w:val="left"/>
      <w:pPr>
        <w:ind w:left="3600" w:hanging="360"/>
      </w:pPr>
      <w:rPr>
        <w:rFonts w:ascii="Symbol" w:hAnsi="Symbol" w:hint="default"/>
      </w:rPr>
    </w:lvl>
    <w:lvl w:ilvl="4" w:tplc="D4C07DBE" w:tentative="1">
      <w:start w:val="1"/>
      <w:numFmt w:val="bullet"/>
      <w:lvlText w:val="o"/>
      <w:lvlJc w:val="left"/>
      <w:pPr>
        <w:ind w:left="4320" w:hanging="360"/>
      </w:pPr>
      <w:rPr>
        <w:rFonts w:ascii="Courier New" w:hAnsi="Courier New" w:cs="Courier New" w:hint="default"/>
      </w:rPr>
    </w:lvl>
    <w:lvl w:ilvl="5" w:tplc="793C8800" w:tentative="1">
      <w:start w:val="1"/>
      <w:numFmt w:val="bullet"/>
      <w:lvlText w:val=""/>
      <w:lvlJc w:val="left"/>
      <w:pPr>
        <w:ind w:left="5040" w:hanging="360"/>
      </w:pPr>
      <w:rPr>
        <w:rFonts w:ascii="Wingdings" w:hAnsi="Wingdings" w:hint="default"/>
      </w:rPr>
    </w:lvl>
    <w:lvl w:ilvl="6" w:tplc="0F62940A" w:tentative="1">
      <w:start w:val="1"/>
      <w:numFmt w:val="bullet"/>
      <w:lvlText w:val=""/>
      <w:lvlJc w:val="left"/>
      <w:pPr>
        <w:ind w:left="5760" w:hanging="360"/>
      </w:pPr>
      <w:rPr>
        <w:rFonts w:ascii="Symbol" w:hAnsi="Symbol" w:hint="default"/>
      </w:rPr>
    </w:lvl>
    <w:lvl w:ilvl="7" w:tplc="D764C5FC" w:tentative="1">
      <w:start w:val="1"/>
      <w:numFmt w:val="bullet"/>
      <w:lvlText w:val="o"/>
      <w:lvlJc w:val="left"/>
      <w:pPr>
        <w:ind w:left="6480" w:hanging="360"/>
      </w:pPr>
      <w:rPr>
        <w:rFonts w:ascii="Courier New" w:hAnsi="Courier New" w:cs="Courier New" w:hint="default"/>
      </w:rPr>
    </w:lvl>
    <w:lvl w:ilvl="8" w:tplc="EDEAC38E" w:tentative="1">
      <w:start w:val="1"/>
      <w:numFmt w:val="bullet"/>
      <w:lvlText w:val=""/>
      <w:lvlJc w:val="left"/>
      <w:pPr>
        <w:ind w:left="7200" w:hanging="360"/>
      </w:pPr>
      <w:rPr>
        <w:rFonts w:ascii="Wingdings" w:hAnsi="Wingdings" w:hint="default"/>
      </w:rPr>
    </w:lvl>
  </w:abstractNum>
  <w:abstractNum w:abstractNumId="6" w15:restartNumberingAfterBreak="0">
    <w:nsid w:val="590D05EA"/>
    <w:multiLevelType w:val="hybridMultilevel"/>
    <w:tmpl w:val="2A206878"/>
    <w:lvl w:ilvl="0" w:tplc="DD4AF3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012A2"/>
    <w:multiLevelType w:val="hybridMultilevel"/>
    <w:tmpl w:val="2388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1"/>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doz, Emily Sheffer [2]">
    <w15:presenceInfo w15:providerId="AD" w15:userId="S-1-5-21-1326408308-1533351006-945835055-130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DE"/>
    <w:rsid w:val="0006606D"/>
    <w:rsid w:val="000828A5"/>
    <w:rsid w:val="00094F6F"/>
    <w:rsid w:val="000A7926"/>
    <w:rsid w:val="000E63FF"/>
    <w:rsid w:val="000F38FA"/>
    <w:rsid w:val="0018180A"/>
    <w:rsid w:val="001C1020"/>
    <w:rsid w:val="002B60C3"/>
    <w:rsid w:val="0056733D"/>
    <w:rsid w:val="005942A0"/>
    <w:rsid w:val="006A6B4F"/>
    <w:rsid w:val="00727E9F"/>
    <w:rsid w:val="00787089"/>
    <w:rsid w:val="008318C6"/>
    <w:rsid w:val="0086366D"/>
    <w:rsid w:val="008C3A7E"/>
    <w:rsid w:val="00971D37"/>
    <w:rsid w:val="00AB3648"/>
    <w:rsid w:val="00B229C6"/>
    <w:rsid w:val="00BD51AF"/>
    <w:rsid w:val="00BF556A"/>
    <w:rsid w:val="00C134DE"/>
    <w:rsid w:val="00CD48F8"/>
    <w:rsid w:val="00D2161F"/>
    <w:rsid w:val="00D76426"/>
    <w:rsid w:val="00E651D0"/>
    <w:rsid w:val="00F23F07"/>
    <w:rsid w:val="00F614DC"/>
    <w:rsid w:val="00FE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07E66F"/>
  <w15:chartTrackingRefBased/>
  <w15:docId w15:val="{C46516DB-B6A3-485F-ABA1-4BFDAFC8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4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4DE"/>
  </w:style>
  <w:style w:type="paragraph" w:styleId="Footer">
    <w:name w:val="footer"/>
    <w:basedOn w:val="Normal"/>
    <w:link w:val="FooterChar"/>
    <w:uiPriority w:val="99"/>
    <w:unhideWhenUsed/>
    <w:rsid w:val="00C1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4DE"/>
  </w:style>
  <w:style w:type="paragraph" w:customStyle="1" w:styleId="BasicParagraph">
    <w:name w:val="[Basic Paragraph]"/>
    <w:basedOn w:val="Normal"/>
    <w:uiPriority w:val="99"/>
    <w:rsid w:val="00C134DE"/>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styleId="ListParagraph">
    <w:name w:val="List Paragraph"/>
    <w:basedOn w:val="Normal"/>
    <w:uiPriority w:val="34"/>
    <w:qFormat/>
    <w:rsid w:val="00C134DE"/>
    <w:pPr>
      <w:ind w:left="720"/>
      <w:contextualSpacing/>
    </w:pPr>
    <w:rPr>
      <w:rFonts w:ascii="Calibri" w:eastAsia="Calibri" w:hAnsi="Calibri" w:cs="Times New Roman"/>
    </w:rPr>
  </w:style>
  <w:style w:type="character" w:styleId="Hyperlink">
    <w:name w:val="Hyperlink"/>
    <w:basedOn w:val="DefaultParagraphFont"/>
    <w:uiPriority w:val="99"/>
    <w:unhideWhenUsed/>
    <w:rsid w:val="00CD48F8"/>
    <w:rPr>
      <w:color w:val="0000FF"/>
      <w:u w:val="single"/>
    </w:rPr>
  </w:style>
  <w:style w:type="paragraph" w:styleId="BalloonText">
    <w:name w:val="Balloon Text"/>
    <w:basedOn w:val="Normal"/>
    <w:link w:val="BalloonTextChar"/>
    <w:uiPriority w:val="99"/>
    <w:semiHidden/>
    <w:unhideWhenUsed/>
    <w:rsid w:val="00F23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F07"/>
    <w:rPr>
      <w:rFonts w:ascii="Segoe UI" w:hAnsi="Segoe UI" w:cs="Segoe UI"/>
      <w:sz w:val="18"/>
      <w:szCs w:val="18"/>
    </w:rPr>
  </w:style>
  <w:style w:type="character" w:styleId="CommentReference">
    <w:name w:val="annotation reference"/>
    <w:basedOn w:val="DefaultParagraphFont"/>
    <w:uiPriority w:val="99"/>
    <w:semiHidden/>
    <w:unhideWhenUsed/>
    <w:rsid w:val="00D76426"/>
    <w:rPr>
      <w:sz w:val="16"/>
      <w:szCs w:val="16"/>
    </w:rPr>
  </w:style>
  <w:style w:type="paragraph" w:styleId="CommentText">
    <w:name w:val="annotation text"/>
    <w:basedOn w:val="Normal"/>
    <w:link w:val="CommentTextChar"/>
    <w:uiPriority w:val="99"/>
    <w:semiHidden/>
    <w:unhideWhenUsed/>
    <w:rsid w:val="00D76426"/>
    <w:pPr>
      <w:spacing w:line="240" w:lineRule="auto"/>
    </w:pPr>
    <w:rPr>
      <w:sz w:val="20"/>
      <w:szCs w:val="20"/>
    </w:rPr>
  </w:style>
  <w:style w:type="character" w:customStyle="1" w:styleId="CommentTextChar">
    <w:name w:val="Comment Text Char"/>
    <w:basedOn w:val="DefaultParagraphFont"/>
    <w:link w:val="CommentText"/>
    <w:uiPriority w:val="99"/>
    <w:semiHidden/>
    <w:rsid w:val="00D76426"/>
    <w:rPr>
      <w:sz w:val="20"/>
      <w:szCs w:val="20"/>
    </w:rPr>
  </w:style>
  <w:style w:type="paragraph" w:styleId="CommentSubject">
    <w:name w:val="annotation subject"/>
    <w:basedOn w:val="CommentText"/>
    <w:next w:val="CommentText"/>
    <w:link w:val="CommentSubjectChar"/>
    <w:uiPriority w:val="99"/>
    <w:semiHidden/>
    <w:unhideWhenUsed/>
    <w:rsid w:val="00D76426"/>
    <w:rPr>
      <w:b/>
      <w:bCs/>
    </w:rPr>
  </w:style>
  <w:style w:type="character" w:customStyle="1" w:styleId="CommentSubjectChar">
    <w:name w:val="Comment Subject Char"/>
    <w:basedOn w:val="CommentTextChar"/>
    <w:link w:val="CommentSubject"/>
    <w:uiPriority w:val="99"/>
    <w:semiHidden/>
    <w:rsid w:val="00D76426"/>
    <w:rPr>
      <w:b/>
      <w:bCs/>
      <w:sz w:val="20"/>
      <w:szCs w:val="20"/>
    </w:rPr>
  </w:style>
  <w:style w:type="character" w:styleId="UnresolvedMention">
    <w:name w:val="Unresolved Mention"/>
    <w:basedOn w:val="DefaultParagraphFont"/>
    <w:uiPriority w:val="99"/>
    <w:semiHidden/>
    <w:unhideWhenUsed/>
    <w:rsid w:val="00BD5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84595">
      <w:bodyDiv w:val="1"/>
      <w:marLeft w:val="0"/>
      <w:marRight w:val="0"/>
      <w:marTop w:val="0"/>
      <w:marBottom w:val="0"/>
      <w:divBdr>
        <w:top w:val="none" w:sz="0" w:space="0" w:color="auto"/>
        <w:left w:val="none" w:sz="0" w:space="0" w:color="auto"/>
        <w:bottom w:val="none" w:sz="0" w:space="0" w:color="auto"/>
        <w:right w:val="none" w:sz="0" w:space="0" w:color="auto"/>
      </w:divBdr>
    </w:div>
    <w:div w:id="21427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bexchange.org/p/wp-content/uploads/2018/12/RelianceInstructions_TEMPLATE_20181220_final.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RBExchange.org" TargetMode="External"/><Relationship Id="rId1" Type="http://schemas.openxmlformats.org/officeDocument/2006/relationships/hyperlink" Target="https://IRBExchang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9DC-6BA5-453A-9FCE-997ACD24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Laura</dc:creator>
  <cp:keywords/>
  <dc:description/>
  <cp:lastModifiedBy>Serdoz, Emily Sheffer</cp:lastModifiedBy>
  <cp:revision>4</cp:revision>
  <dcterms:created xsi:type="dcterms:W3CDTF">2019-09-05T15:07:00Z</dcterms:created>
  <dcterms:modified xsi:type="dcterms:W3CDTF">2019-10-21T20:22:00Z</dcterms:modified>
</cp:coreProperties>
</file>